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5F95" w14:textId="77777777" w:rsidR="00CC3DBD" w:rsidRPr="00230530" w:rsidRDefault="00CC3DBD" w:rsidP="00CC3DBD">
      <w:pPr>
        <w:tabs>
          <w:tab w:val="left" w:pos="1134"/>
        </w:tabs>
        <w:jc w:val="right"/>
        <w:rPr>
          <w:rFonts w:ascii="PermianSerifTypeface" w:hAnsi="PermianSerifTypeface" w:cs="Times New Roman"/>
          <w:b/>
          <w:bCs/>
          <w:color w:val="000000" w:themeColor="text1"/>
          <w:lang w:val="ro-RO"/>
        </w:rPr>
      </w:pPr>
      <w:r w:rsidRPr="00230530">
        <w:rPr>
          <w:rFonts w:ascii="PermianSerifTypeface" w:hAnsi="PermianSerifTypeface" w:cs="Times New Roman"/>
          <w:b/>
          <w:bCs/>
          <w:color w:val="000000" w:themeColor="text1"/>
          <w:lang w:val="ro-RO"/>
        </w:rPr>
        <w:t>Proiect</w:t>
      </w:r>
    </w:p>
    <w:p w14:paraId="3105DD48" w14:textId="09C75E1C" w:rsidR="00CC3DBD" w:rsidRPr="00230530" w:rsidRDefault="00CC3DBD" w:rsidP="00BD2944">
      <w:pPr>
        <w:jc w:val="center"/>
        <w:rPr>
          <w:lang w:val="ro-RO"/>
        </w:rPr>
      </w:pPr>
      <w:r w:rsidRPr="00230530">
        <w:rPr>
          <w:rFonts w:ascii="PermianSerifTypeface" w:hAnsi="PermianSerifTypeface" w:cs="Times New Roman"/>
          <w:b/>
          <w:bCs/>
          <w:color w:val="000000" w:themeColor="text1"/>
          <w:lang w:val="ro-RO"/>
        </w:rPr>
        <w:t>COMITETUL EXECUTIV</w:t>
      </w:r>
      <w:r w:rsidRPr="00230530">
        <w:rPr>
          <w:rFonts w:ascii="PermianSerifTypeface" w:hAnsi="PermianSerifTypeface" w:cs="Times New Roman"/>
          <w:b/>
          <w:bCs/>
          <w:color w:val="000000" w:themeColor="text1"/>
          <w:lang w:val="ro-RO"/>
        </w:rPr>
        <w:br/>
        <w:t>AL BĂNCII NAŢIONALE A MOLDOVEI</w:t>
      </w:r>
    </w:p>
    <w:p w14:paraId="4906EB59" w14:textId="77777777" w:rsidR="00CC3DBD" w:rsidRPr="00230530" w:rsidRDefault="00CC3DBD" w:rsidP="00CC3DBD">
      <w:pPr>
        <w:pStyle w:val="BodyText2"/>
        <w:ind w:right="-1"/>
        <w:rPr>
          <w:rFonts w:ascii="PermianSerifTypeface" w:hAnsi="PermianSerifTypeface"/>
          <w:color w:val="000000" w:themeColor="text1"/>
          <w:sz w:val="22"/>
          <w:szCs w:val="22"/>
        </w:rPr>
      </w:pPr>
    </w:p>
    <w:p w14:paraId="297F8728" w14:textId="77777777" w:rsidR="00CC3DBD" w:rsidRPr="00230530" w:rsidRDefault="00CC3DBD" w:rsidP="00CC3DBD">
      <w:pPr>
        <w:pStyle w:val="10"/>
        <w:keepNext/>
        <w:keepLines/>
        <w:shd w:val="clear" w:color="auto" w:fill="auto"/>
        <w:spacing w:before="0" w:line="240" w:lineRule="auto"/>
        <w:ind w:right="-1"/>
        <w:jc w:val="center"/>
        <w:rPr>
          <w:rFonts w:ascii="PermianSerifTypeface" w:hAnsi="PermianSerifTypeface"/>
          <w:b/>
          <w:color w:val="000000" w:themeColor="text1"/>
          <w:sz w:val="22"/>
          <w:szCs w:val="22"/>
          <w:lang w:val="ro-RO"/>
        </w:rPr>
      </w:pPr>
      <w:r w:rsidRPr="00230530">
        <w:rPr>
          <w:rFonts w:ascii="PermianSerifTypeface" w:hAnsi="PermianSerifTypeface"/>
          <w:b/>
          <w:color w:val="000000" w:themeColor="text1"/>
          <w:sz w:val="22"/>
          <w:szCs w:val="22"/>
          <w:lang w:val="ro-RO"/>
        </w:rPr>
        <w:t>HOTĂRÂREA</w:t>
      </w:r>
    </w:p>
    <w:p w14:paraId="1C70CA7F" w14:textId="130AFECE" w:rsidR="00CC3DBD" w:rsidRPr="00230530" w:rsidRDefault="00CC3DBD" w:rsidP="00CC3DBD">
      <w:pPr>
        <w:pStyle w:val="10"/>
        <w:keepNext/>
        <w:keepLines/>
        <w:shd w:val="clear" w:color="auto" w:fill="auto"/>
        <w:spacing w:before="0" w:line="240" w:lineRule="auto"/>
        <w:ind w:right="-1"/>
        <w:jc w:val="center"/>
        <w:rPr>
          <w:rFonts w:ascii="PermianSerifTypeface" w:hAnsi="PermianSerifTypeface"/>
          <w:b/>
          <w:color w:val="000000" w:themeColor="text1"/>
          <w:sz w:val="22"/>
          <w:szCs w:val="22"/>
          <w:lang w:val="ro-RO"/>
        </w:rPr>
      </w:pPr>
      <w:r w:rsidRPr="00230530">
        <w:rPr>
          <w:rFonts w:ascii="PermianSerifTypeface" w:hAnsi="PermianSerifTypeface"/>
          <w:b/>
          <w:color w:val="000000" w:themeColor="text1"/>
          <w:sz w:val="22"/>
          <w:szCs w:val="22"/>
          <w:lang w:val="ro-RO"/>
        </w:rPr>
        <w:t>nr. ___ din __ __________ 20</w:t>
      </w:r>
      <w:r w:rsidR="00645F31" w:rsidRPr="00230530">
        <w:rPr>
          <w:rFonts w:ascii="PermianSerifTypeface" w:hAnsi="PermianSerifTypeface"/>
          <w:b/>
          <w:color w:val="000000" w:themeColor="text1"/>
          <w:sz w:val="22"/>
          <w:szCs w:val="22"/>
          <w:lang w:val="ro-RO"/>
        </w:rPr>
        <w:t>2</w:t>
      </w:r>
      <w:r w:rsidR="00962705">
        <w:rPr>
          <w:rFonts w:ascii="PermianSerifTypeface" w:hAnsi="PermianSerifTypeface"/>
          <w:b/>
          <w:color w:val="000000" w:themeColor="text1"/>
          <w:sz w:val="22"/>
          <w:szCs w:val="22"/>
          <w:lang w:val="ro-RO"/>
        </w:rPr>
        <w:t>5</w:t>
      </w:r>
    </w:p>
    <w:p w14:paraId="2E15301F" w14:textId="77777777" w:rsidR="00CC3DBD" w:rsidRPr="00230530" w:rsidRDefault="00CC3DBD" w:rsidP="00CC3DBD">
      <w:pPr>
        <w:pStyle w:val="10"/>
        <w:keepNext/>
        <w:keepLines/>
        <w:shd w:val="clear" w:color="auto" w:fill="auto"/>
        <w:spacing w:before="0" w:line="240" w:lineRule="auto"/>
        <w:ind w:right="-1"/>
        <w:jc w:val="center"/>
        <w:rPr>
          <w:rFonts w:ascii="PermianSerifTypeface" w:hAnsi="PermianSerifTypeface"/>
          <w:b/>
          <w:color w:val="000000" w:themeColor="text1"/>
          <w:sz w:val="22"/>
          <w:szCs w:val="22"/>
          <w:lang w:val="ro-RO"/>
        </w:rPr>
      </w:pPr>
    </w:p>
    <w:p w14:paraId="7DE3E1C3" w14:textId="4D1D4039" w:rsidR="00CC3DBD" w:rsidRPr="00230530" w:rsidRDefault="001E14E4" w:rsidP="00962705">
      <w:pPr>
        <w:pStyle w:val="10"/>
        <w:shd w:val="clear" w:color="auto" w:fill="auto"/>
        <w:spacing w:line="240" w:lineRule="auto"/>
        <w:ind w:right="-1"/>
        <w:jc w:val="center"/>
        <w:rPr>
          <w:rFonts w:ascii="PermianSerifTypeface" w:hAnsi="PermianSerifTypeface"/>
          <w:b/>
          <w:color w:val="000000" w:themeColor="text1"/>
          <w:sz w:val="22"/>
          <w:szCs w:val="22"/>
          <w:lang w:val="ro-RO"/>
        </w:rPr>
      </w:pPr>
      <w:bookmarkStart w:id="0" w:name="_Hlk198896448"/>
      <w:r>
        <w:rPr>
          <w:rFonts w:ascii="PermianSerifTypeface" w:hAnsi="PermianSerifTypeface"/>
          <w:b/>
          <w:color w:val="000000" w:themeColor="text1"/>
          <w:sz w:val="22"/>
          <w:szCs w:val="22"/>
          <w:lang w:val="ro-RO"/>
        </w:rPr>
        <w:t>Pentru</w:t>
      </w:r>
      <w:r w:rsidR="00645F31" w:rsidRPr="00230530">
        <w:rPr>
          <w:rFonts w:ascii="PermianSerifTypeface" w:hAnsi="PermianSerifTypeface"/>
          <w:b/>
          <w:color w:val="000000" w:themeColor="text1"/>
          <w:sz w:val="22"/>
          <w:szCs w:val="22"/>
          <w:lang w:val="ro-RO"/>
        </w:rPr>
        <w:t xml:space="preserve"> modificarea </w:t>
      </w:r>
      <w:r w:rsidR="00814F8B">
        <w:rPr>
          <w:rFonts w:ascii="PermianSerifTypeface" w:hAnsi="PermianSerifTypeface"/>
          <w:b/>
          <w:color w:val="000000" w:themeColor="text1"/>
          <w:sz w:val="22"/>
          <w:szCs w:val="22"/>
          <w:lang w:val="ro-RO"/>
        </w:rPr>
        <w:t xml:space="preserve">Anexei nr. 2 </w:t>
      </w:r>
      <w:r w:rsidR="008304CF">
        <w:rPr>
          <w:rFonts w:ascii="PermianSerifTypeface" w:hAnsi="PermianSerifTypeface"/>
          <w:b/>
          <w:color w:val="000000" w:themeColor="text1"/>
          <w:sz w:val="22"/>
          <w:szCs w:val="22"/>
          <w:lang w:val="ro-RO"/>
        </w:rPr>
        <w:t>l</w:t>
      </w:r>
      <w:r w:rsidR="00814F8B">
        <w:rPr>
          <w:rFonts w:ascii="PermianSerifTypeface" w:hAnsi="PermianSerifTypeface"/>
          <w:b/>
          <w:color w:val="000000" w:themeColor="text1"/>
          <w:sz w:val="22"/>
          <w:szCs w:val="22"/>
          <w:lang w:val="ro-RO"/>
        </w:rPr>
        <w:t xml:space="preserve">a </w:t>
      </w:r>
      <w:r w:rsidR="00645F31" w:rsidRPr="00230530">
        <w:rPr>
          <w:rFonts w:ascii="PermianSerifTypeface" w:hAnsi="PermianSerifTypeface"/>
          <w:b/>
          <w:color w:val="000000" w:themeColor="text1"/>
          <w:sz w:val="22"/>
          <w:szCs w:val="22"/>
          <w:lang w:val="ro-RO"/>
        </w:rPr>
        <w:t>Hotărâr</w:t>
      </w:r>
      <w:r w:rsidR="008304CF">
        <w:rPr>
          <w:rFonts w:ascii="PermianSerifTypeface" w:hAnsi="PermianSerifTypeface"/>
          <w:b/>
          <w:color w:val="000000" w:themeColor="text1"/>
          <w:sz w:val="22"/>
          <w:szCs w:val="22"/>
          <w:lang w:val="ro-RO"/>
        </w:rPr>
        <w:t>ea</w:t>
      </w:r>
      <w:r w:rsidR="00645F31" w:rsidRPr="00230530">
        <w:rPr>
          <w:rFonts w:ascii="PermianSerifTypeface" w:hAnsi="PermianSerifTypeface"/>
          <w:b/>
          <w:color w:val="000000" w:themeColor="text1"/>
          <w:sz w:val="22"/>
          <w:szCs w:val="22"/>
          <w:lang w:val="ro-RO"/>
        </w:rPr>
        <w:t xml:space="preserve"> Comitetului executiv al Băncii Naționale a Moldovei nr. 180</w:t>
      </w:r>
      <w:r w:rsidR="00F72E23" w:rsidRPr="00230530">
        <w:rPr>
          <w:rFonts w:ascii="PermianSerifTypeface" w:hAnsi="PermianSerifTypeface"/>
          <w:b/>
          <w:color w:val="000000" w:themeColor="text1"/>
          <w:sz w:val="22"/>
          <w:szCs w:val="22"/>
          <w:lang w:val="ro-RO"/>
        </w:rPr>
        <w:t>/</w:t>
      </w:r>
      <w:r w:rsidR="00645F31" w:rsidRPr="00230530">
        <w:rPr>
          <w:rFonts w:ascii="PermianSerifTypeface" w:hAnsi="PermianSerifTypeface"/>
          <w:b/>
          <w:color w:val="000000" w:themeColor="text1"/>
          <w:sz w:val="22"/>
          <w:szCs w:val="22"/>
          <w:lang w:val="ro-RO"/>
        </w:rPr>
        <w:t xml:space="preserve">2019 </w:t>
      </w:r>
      <w:r w:rsidR="00F72E23" w:rsidRPr="00230530">
        <w:rPr>
          <w:rFonts w:ascii="PermianSerifTypeface" w:hAnsi="PermianSerifTypeface"/>
          <w:b/>
          <w:color w:val="000000" w:themeColor="text1"/>
          <w:sz w:val="22"/>
          <w:szCs w:val="22"/>
          <w:lang w:val="ro-RO"/>
        </w:rPr>
        <w:t>„</w:t>
      </w:r>
      <w:r w:rsidR="00962705" w:rsidRPr="00962705">
        <w:rPr>
          <w:rFonts w:ascii="PermianSerifTypeface" w:hAnsi="PermianSerifTypeface"/>
          <w:b/>
          <w:bCs/>
          <w:color w:val="000000" w:themeColor="text1"/>
          <w:sz w:val="22"/>
          <w:szCs w:val="22"/>
          <w:lang w:val="ro-RO"/>
        </w:rPr>
        <w:t>Privind comisioanele aplicate pentru operațiunile de plată efectuate printr-un card de plată sau printr-un dispozitiv asemănător, comisioanele aplicate de către prestatorii de servicii de plată pentru operațiunile de plată ce presupun utilizarea sistemului automatizat de plăți interne, comisioanele percepute de BNM pentru plățile procesate în sistemul automatizat de plăți interne, precum și valoarea maximă a documentului de plată acceptat de sistemul de compensare cu decontare pe bază netă și de sistemul de plăți instant din partea participanților</w:t>
      </w:r>
      <w:r w:rsidR="008B0863" w:rsidRPr="00230530">
        <w:rPr>
          <w:rFonts w:ascii="PermianSerifTypeface" w:hAnsi="PermianSerifTypeface"/>
          <w:b/>
          <w:color w:val="000000" w:themeColor="text1"/>
          <w:sz w:val="22"/>
          <w:szCs w:val="22"/>
          <w:lang w:val="ro-RO"/>
        </w:rPr>
        <w:t>”</w:t>
      </w:r>
    </w:p>
    <w:bookmarkEnd w:id="0"/>
    <w:p w14:paraId="2A58E124" w14:textId="77777777" w:rsidR="00CC3DBD" w:rsidRPr="00230530" w:rsidRDefault="00CC3DBD" w:rsidP="00CC3DBD">
      <w:pPr>
        <w:pStyle w:val="BodyText2"/>
        <w:ind w:right="-1"/>
        <w:rPr>
          <w:rFonts w:ascii="PermianSerifTypeface" w:hAnsi="PermianSerifTypeface"/>
          <w:color w:val="000000" w:themeColor="text1"/>
          <w:sz w:val="22"/>
          <w:szCs w:val="22"/>
        </w:rPr>
      </w:pPr>
    </w:p>
    <w:p w14:paraId="2EC1D9C0" w14:textId="78E45F22" w:rsidR="00CC3DBD" w:rsidRPr="00230530" w:rsidRDefault="00CC3DBD" w:rsidP="00F72E23">
      <w:pPr>
        <w:pStyle w:val="BodyText2"/>
        <w:ind w:firstLine="720"/>
        <w:jc w:val="both"/>
        <w:rPr>
          <w:rFonts w:ascii="PermianSerifTypeface" w:hAnsi="PermianSerifTypeface"/>
          <w:color w:val="000000" w:themeColor="text1"/>
          <w:sz w:val="22"/>
          <w:szCs w:val="22"/>
        </w:rPr>
      </w:pPr>
      <w:r w:rsidRPr="00230530">
        <w:rPr>
          <w:rFonts w:ascii="PermianSerifTypeface" w:hAnsi="PermianSerifTypeface"/>
          <w:color w:val="000000" w:themeColor="text1"/>
          <w:sz w:val="22"/>
          <w:szCs w:val="22"/>
        </w:rPr>
        <w:t xml:space="preserve">În temeiul art.5 alin. (1) lit. </w:t>
      </w:r>
      <w:r w:rsidR="00430F27">
        <w:rPr>
          <w:rFonts w:ascii="PermianSerifTypeface" w:hAnsi="PermianSerifTypeface"/>
          <w:color w:val="000000" w:themeColor="text1"/>
          <w:sz w:val="22"/>
          <w:szCs w:val="22"/>
        </w:rPr>
        <w:t xml:space="preserve">f) </w:t>
      </w:r>
      <w:r w:rsidR="00430F27">
        <w:rPr>
          <w:rFonts w:ascii="PermianSerifTypeface" w:hAnsi="PermianSerifTypeface"/>
          <w:color w:val="000000" w:themeColor="text1"/>
          <w:sz w:val="22"/>
          <w:szCs w:val="22"/>
          <w:lang w:val="ro-MD"/>
        </w:rPr>
        <w:t xml:space="preserve">și </w:t>
      </w:r>
      <w:r w:rsidRPr="00230530">
        <w:rPr>
          <w:rFonts w:ascii="PermianSerifTypeface" w:hAnsi="PermianSerifTypeface"/>
          <w:color w:val="000000" w:themeColor="text1"/>
          <w:sz w:val="22"/>
          <w:szCs w:val="22"/>
        </w:rPr>
        <w:t>m) din Legea nr. 548/1995 cu privire la Banca Națională a Moldovei (republicată în Monitorul Oficial al Republicii Moldova, 2015, nr. 297-300, art. 544), cu modificările ulterioare,</w:t>
      </w:r>
      <w:r w:rsidR="00473774" w:rsidRPr="00230530">
        <w:rPr>
          <w:rFonts w:ascii="PermianSerifTypeface" w:hAnsi="PermianSerifTypeface"/>
          <w:color w:val="000000" w:themeColor="text1"/>
          <w:sz w:val="22"/>
          <w:szCs w:val="22"/>
        </w:rPr>
        <w:t xml:space="preserve"> </w:t>
      </w:r>
      <w:r w:rsidRPr="00230530">
        <w:rPr>
          <w:rFonts w:ascii="PermianSerifTypeface" w:hAnsi="PermianSerifTypeface"/>
          <w:color w:val="000000" w:themeColor="text1"/>
          <w:sz w:val="22"/>
          <w:szCs w:val="22"/>
        </w:rPr>
        <w:t>art. 50 alin. (6) și (7)</w:t>
      </w:r>
      <w:r w:rsidR="006C694B">
        <w:rPr>
          <w:rFonts w:ascii="PermianSerifTypeface" w:hAnsi="PermianSerifTypeface"/>
          <w:color w:val="000000" w:themeColor="text1"/>
          <w:sz w:val="22"/>
          <w:szCs w:val="22"/>
        </w:rPr>
        <w:t xml:space="preserve"> </w:t>
      </w:r>
      <w:r w:rsidRPr="00230530">
        <w:rPr>
          <w:rFonts w:ascii="PermianSerifTypeface" w:hAnsi="PermianSerifTypeface"/>
          <w:color w:val="000000" w:themeColor="text1"/>
          <w:sz w:val="22"/>
          <w:szCs w:val="22"/>
        </w:rPr>
        <w:t>din Legea nr. 114</w:t>
      </w:r>
      <w:r w:rsidR="00CD30C9" w:rsidRPr="00230530">
        <w:rPr>
          <w:rFonts w:ascii="PermianSerifTypeface" w:hAnsi="PermianSerifTypeface"/>
          <w:color w:val="000000" w:themeColor="text1"/>
          <w:sz w:val="22"/>
          <w:szCs w:val="22"/>
        </w:rPr>
        <w:t>/</w:t>
      </w:r>
      <w:r w:rsidRPr="00230530">
        <w:rPr>
          <w:rFonts w:ascii="PermianSerifTypeface" w:hAnsi="PermianSerifTypeface"/>
          <w:color w:val="000000" w:themeColor="text1"/>
          <w:sz w:val="22"/>
          <w:szCs w:val="22"/>
        </w:rPr>
        <w:t xml:space="preserve">2012 cu privire </w:t>
      </w:r>
      <w:r w:rsidR="00446199" w:rsidRPr="00230530">
        <w:rPr>
          <w:rFonts w:ascii="PermianSerifTypeface" w:hAnsi="PermianSerifTypeface"/>
          <w:color w:val="000000" w:themeColor="text1"/>
          <w:sz w:val="22"/>
          <w:szCs w:val="22"/>
        </w:rPr>
        <w:t xml:space="preserve">la </w:t>
      </w:r>
      <w:r w:rsidRPr="00230530">
        <w:rPr>
          <w:rFonts w:ascii="PermianSerifTypeface" w:hAnsi="PermianSerifTypeface"/>
          <w:color w:val="000000" w:themeColor="text1"/>
          <w:sz w:val="22"/>
          <w:szCs w:val="22"/>
        </w:rPr>
        <w:t>serviciile de plată și moneda electronică (Monitorul Oficial al Republicii Moldova, 2012, nr.193-197, art.661), cu modificările ulterioare</w:t>
      </w:r>
      <w:r w:rsidR="004B3163" w:rsidRPr="00230530">
        <w:rPr>
          <w:rFonts w:ascii="PermianSerifTypeface" w:hAnsi="PermianSerifTypeface"/>
          <w:sz w:val="22"/>
          <w:szCs w:val="22"/>
          <w:lang w:eastAsia="ru-RU"/>
        </w:rPr>
        <w:t>,</w:t>
      </w:r>
      <w:r w:rsidRPr="00230530">
        <w:rPr>
          <w:rFonts w:ascii="PermianSerifTypeface" w:hAnsi="PermianSerifTypeface"/>
          <w:color w:val="000000" w:themeColor="text1"/>
          <w:sz w:val="22"/>
          <w:szCs w:val="22"/>
        </w:rPr>
        <w:t xml:space="preserve"> Comitetul executiv al Băncii Naționale a Moldovei</w:t>
      </w:r>
    </w:p>
    <w:p w14:paraId="7E3C2843" w14:textId="77777777" w:rsidR="00BD2944" w:rsidRPr="00230530" w:rsidRDefault="00BD2944" w:rsidP="00CC3DBD">
      <w:pPr>
        <w:pStyle w:val="BodyText2"/>
        <w:jc w:val="both"/>
        <w:rPr>
          <w:rFonts w:ascii="PermianSerifTypeface" w:hAnsi="PermianSerifTypeface"/>
          <w:color w:val="000000" w:themeColor="text1"/>
          <w:sz w:val="22"/>
          <w:szCs w:val="22"/>
        </w:rPr>
      </w:pPr>
    </w:p>
    <w:p w14:paraId="68752596" w14:textId="77777777" w:rsidR="000C3D12" w:rsidRPr="00230530" w:rsidRDefault="000C3D12" w:rsidP="00CC3DBD">
      <w:pPr>
        <w:pStyle w:val="BodyText2"/>
        <w:jc w:val="both"/>
        <w:rPr>
          <w:rFonts w:ascii="PermianSerifTypeface" w:hAnsi="PermianSerifTypeface"/>
          <w:color w:val="000000" w:themeColor="text1"/>
          <w:sz w:val="22"/>
          <w:szCs w:val="22"/>
        </w:rPr>
      </w:pPr>
    </w:p>
    <w:p w14:paraId="2675E7EA" w14:textId="5A18E821" w:rsidR="006C4043" w:rsidRDefault="00CC3DBD" w:rsidP="006C4043">
      <w:pPr>
        <w:pStyle w:val="BodyText2"/>
        <w:tabs>
          <w:tab w:val="left" w:pos="1134"/>
        </w:tabs>
        <w:rPr>
          <w:rFonts w:ascii="PermianSerifTypeface" w:hAnsi="PermianSerifTypeface"/>
          <w:b/>
          <w:bCs w:val="0"/>
          <w:color w:val="000000" w:themeColor="text1"/>
          <w:sz w:val="22"/>
          <w:szCs w:val="22"/>
        </w:rPr>
      </w:pPr>
      <w:r w:rsidRPr="00230530">
        <w:rPr>
          <w:rFonts w:ascii="PermianSerifTypeface" w:hAnsi="PermianSerifTypeface"/>
          <w:b/>
          <w:bCs w:val="0"/>
          <w:color w:val="000000" w:themeColor="text1"/>
          <w:sz w:val="22"/>
          <w:szCs w:val="22"/>
        </w:rPr>
        <w:t>HOTĂRĂŞTE</w:t>
      </w:r>
      <w:r w:rsidR="00B21352">
        <w:rPr>
          <w:rFonts w:ascii="PermianSerifTypeface" w:hAnsi="PermianSerifTypeface"/>
          <w:b/>
          <w:bCs w:val="0"/>
          <w:color w:val="000000" w:themeColor="text1"/>
          <w:sz w:val="22"/>
          <w:szCs w:val="22"/>
        </w:rPr>
        <w:t>:</w:t>
      </w:r>
    </w:p>
    <w:p w14:paraId="2CE7F49B" w14:textId="77777777" w:rsidR="006C4043" w:rsidRDefault="006C4043" w:rsidP="006C4043">
      <w:pPr>
        <w:pStyle w:val="BodyText2"/>
        <w:tabs>
          <w:tab w:val="left" w:pos="1134"/>
        </w:tabs>
        <w:rPr>
          <w:rFonts w:ascii="PermianSerifTypeface" w:hAnsi="PermianSerifTypeface"/>
          <w:b/>
          <w:bCs w:val="0"/>
          <w:color w:val="000000" w:themeColor="text1"/>
          <w:sz w:val="22"/>
          <w:szCs w:val="22"/>
        </w:rPr>
      </w:pPr>
    </w:p>
    <w:p w14:paraId="1A3373B0" w14:textId="2CAD02DF" w:rsidR="00F260DA" w:rsidRPr="006C4043" w:rsidRDefault="008278B5" w:rsidP="006C4043">
      <w:pPr>
        <w:pStyle w:val="BodyText2"/>
        <w:numPr>
          <w:ilvl w:val="0"/>
          <w:numId w:val="20"/>
        </w:numPr>
        <w:tabs>
          <w:tab w:val="left" w:pos="567"/>
        </w:tabs>
        <w:ind w:left="0" w:firstLine="360"/>
        <w:jc w:val="both"/>
        <w:rPr>
          <w:rFonts w:ascii="PermianSerifTypeface" w:hAnsi="PermianSerifTypeface"/>
          <w:b/>
          <w:bCs w:val="0"/>
          <w:color w:val="000000" w:themeColor="text1"/>
          <w:sz w:val="22"/>
          <w:szCs w:val="22"/>
        </w:rPr>
      </w:pPr>
      <w:r>
        <w:rPr>
          <w:rFonts w:ascii="PermianSerifTypeface" w:hAnsi="PermianSerifTypeface"/>
          <w:color w:val="000000" w:themeColor="text1"/>
          <w:sz w:val="22"/>
          <w:szCs w:val="22"/>
        </w:rPr>
        <w:t xml:space="preserve">Anexa nr. 2 la </w:t>
      </w:r>
      <w:r w:rsidR="00672D67" w:rsidRPr="00EF22C1">
        <w:rPr>
          <w:rFonts w:ascii="PermianSerifTypeface" w:hAnsi="PermianSerifTypeface"/>
          <w:color w:val="000000" w:themeColor="text1"/>
          <w:sz w:val="22"/>
          <w:szCs w:val="22"/>
        </w:rPr>
        <w:t>Hotărârea Comitetului executiv al Băncii Naționale a Moldovei nr. 180/2019 „</w:t>
      </w:r>
      <w:r w:rsidR="00430F27" w:rsidRPr="00430F27">
        <w:rPr>
          <w:rFonts w:ascii="PermianSerifTypeface" w:hAnsi="PermianSerifTypeface"/>
          <w:color w:val="000000" w:themeColor="text1"/>
          <w:sz w:val="22"/>
          <w:szCs w:val="22"/>
        </w:rPr>
        <w:t>Privind comisioanele aplicate pentru operațiunile de plată efectuate printr-un card de plată sau printr-un dispozitiv asemănător, comisioanele aplicate de către prestatorii de servicii de plată pentru operațiunile de plată ce presupun utilizarea sistemului automatizat de plăți interne, comisioanele percepute de BNM pentru plățile procesate în sistemul automatizat de plăți interne, precum și valoarea maximă a documentului de plată acceptat de sistemul de compensare cu decontare pe bază netă și de sistemul de plăți instant din partea participanților</w:t>
      </w:r>
      <w:r w:rsidR="00672D67" w:rsidRPr="00EF22C1">
        <w:rPr>
          <w:rFonts w:ascii="PermianSerifTypeface" w:hAnsi="PermianSerifTypeface"/>
          <w:color w:val="000000" w:themeColor="text1"/>
          <w:sz w:val="22"/>
          <w:szCs w:val="22"/>
        </w:rPr>
        <w:t xml:space="preserve">” (Monitorul Oficial al Republicii Moldova, 2019, nr. 223-229, art. 1271), înregistrată la Ministerul </w:t>
      </w:r>
      <w:r w:rsidR="00D06FD8" w:rsidRPr="00EF22C1">
        <w:rPr>
          <w:rFonts w:ascii="PermianSerifTypeface" w:hAnsi="PermianSerifTypeface"/>
          <w:color w:val="000000" w:themeColor="text1"/>
          <w:sz w:val="22"/>
          <w:szCs w:val="22"/>
        </w:rPr>
        <w:t>Justiției</w:t>
      </w:r>
      <w:r w:rsidR="00672D67" w:rsidRPr="00EF22C1">
        <w:rPr>
          <w:rFonts w:ascii="PermianSerifTypeface" w:hAnsi="PermianSerifTypeface"/>
          <w:color w:val="000000" w:themeColor="text1"/>
          <w:sz w:val="22"/>
          <w:szCs w:val="22"/>
        </w:rPr>
        <w:t xml:space="preserve"> al Republicii Moldova cu nr. 1471 din 5 iulie 2019, </w:t>
      </w:r>
      <w:r w:rsidR="006B5E7E" w:rsidRPr="00230530">
        <w:rPr>
          <w:rFonts w:ascii="PermianSerifTypeface" w:hAnsi="PermianSerifTypeface"/>
          <w:color w:val="000000" w:themeColor="text1"/>
          <w:sz w:val="22"/>
          <w:szCs w:val="22"/>
        </w:rPr>
        <w:t>se modifică după cum urmează</w:t>
      </w:r>
      <w:r w:rsidR="003536EB" w:rsidRPr="00230530">
        <w:rPr>
          <w:rFonts w:ascii="PermianSerifTypeface" w:hAnsi="PermianSerifTypeface"/>
          <w:color w:val="000000" w:themeColor="text1"/>
          <w:sz w:val="22"/>
          <w:szCs w:val="22"/>
        </w:rPr>
        <w:t>:</w:t>
      </w:r>
    </w:p>
    <w:p w14:paraId="0F83436E" w14:textId="6C5D4CF1" w:rsidR="002448FE" w:rsidRDefault="002448FE" w:rsidP="000F3CDB">
      <w:pPr>
        <w:pStyle w:val="BodyText2"/>
        <w:tabs>
          <w:tab w:val="left" w:pos="567"/>
        </w:tabs>
        <w:ind w:left="360"/>
        <w:jc w:val="both"/>
        <w:rPr>
          <w:rFonts w:ascii="PermianSerifTypeface" w:hAnsi="PermianSerifTypeface"/>
          <w:color w:val="000000" w:themeColor="text1"/>
          <w:sz w:val="22"/>
          <w:szCs w:val="22"/>
        </w:rPr>
      </w:pPr>
    </w:p>
    <w:p w14:paraId="65FE7574" w14:textId="0E1A6C35" w:rsidR="00F71650" w:rsidRDefault="008278B5" w:rsidP="00DE0BF8">
      <w:pPr>
        <w:pStyle w:val="BodyText2"/>
        <w:numPr>
          <w:ilvl w:val="0"/>
          <w:numId w:val="21"/>
        </w:numPr>
        <w:tabs>
          <w:tab w:val="left" w:pos="567"/>
        </w:tabs>
        <w:ind w:left="0" w:firstLine="360"/>
        <w:jc w:val="both"/>
        <w:rPr>
          <w:rFonts w:ascii="PermianSerifTypeface" w:hAnsi="PermianSerifTypeface"/>
          <w:color w:val="000000" w:themeColor="text1"/>
          <w:sz w:val="22"/>
          <w:szCs w:val="22"/>
        </w:rPr>
      </w:pPr>
      <w:r>
        <w:rPr>
          <w:rFonts w:ascii="PermianSerifTypeface" w:hAnsi="PermianSerifTypeface"/>
          <w:color w:val="000000" w:themeColor="text1"/>
          <w:sz w:val="22"/>
          <w:szCs w:val="22"/>
        </w:rPr>
        <w:t>T</w:t>
      </w:r>
      <w:r w:rsidR="008304CF">
        <w:rPr>
          <w:rFonts w:ascii="PermianSerifTypeface" w:hAnsi="PermianSerifTypeface"/>
          <w:color w:val="000000" w:themeColor="text1"/>
          <w:sz w:val="22"/>
          <w:szCs w:val="22"/>
        </w:rPr>
        <w:t xml:space="preserve">abelul </w:t>
      </w:r>
      <w:r w:rsidR="00166166">
        <w:rPr>
          <w:rFonts w:ascii="PermianSerifTypeface" w:hAnsi="PermianSerifTypeface"/>
          <w:color w:val="000000" w:themeColor="text1"/>
          <w:sz w:val="22"/>
          <w:szCs w:val="22"/>
        </w:rPr>
        <w:t>„</w:t>
      </w:r>
      <w:r w:rsidR="008304CF" w:rsidRPr="008304CF">
        <w:rPr>
          <w:rFonts w:ascii="PermianSerifTypeface" w:hAnsi="PermianSerifTypeface"/>
          <w:color w:val="000000" w:themeColor="text1"/>
          <w:sz w:val="22"/>
          <w:szCs w:val="22"/>
        </w:rPr>
        <w:t>Comisioanele percepute de Banca Națională a Moldovei și prestatorii de servicii de plată pentru plățile P2B procesate în sistemul de plăți instant</w:t>
      </w:r>
      <w:r w:rsidR="008304CF">
        <w:rPr>
          <w:rFonts w:ascii="PermianSerifTypeface" w:hAnsi="PermianSerifTypeface"/>
          <w:color w:val="000000" w:themeColor="text1"/>
          <w:sz w:val="22"/>
          <w:szCs w:val="22"/>
        </w:rPr>
        <w:t xml:space="preserve">” </w:t>
      </w:r>
      <w:bookmarkStart w:id="1" w:name="_Hlk198894569"/>
      <w:r w:rsidR="00F71650">
        <w:rPr>
          <w:rFonts w:ascii="PermianSerifTypeface" w:hAnsi="PermianSerifTypeface"/>
          <w:color w:val="000000" w:themeColor="text1"/>
          <w:sz w:val="22"/>
          <w:szCs w:val="22"/>
        </w:rPr>
        <w:t>se modifică după cum urmează:</w:t>
      </w:r>
    </w:p>
    <w:p w14:paraId="043D73B0" w14:textId="2C04B57B" w:rsidR="00E90A85" w:rsidRPr="00E90A85" w:rsidRDefault="000152D6" w:rsidP="007527F3">
      <w:pPr>
        <w:pStyle w:val="BodyText2"/>
        <w:numPr>
          <w:ilvl w:val="2"/>
          <w:numId w:val="20"/>
        </w:numPr>
        <w:tabs>
          <w:tab w:val="left" w:pos="993"/>
        </w:tabs>
        <w:ind w:left="993" w:hanging="567"/>
        <w:jc w:val="both"/>
        <w:rPr>
          <w:rFonts w:ascii="PermianSerifTypeface" w:hAnsi="PermianSerifTypeface"/>
          <w:color w:val="000000" w:themeColor="text1"/>
          <w:sz w:val="22"/>
          <w:szCs w:val="22"/>
        </w:rPr>
      </w:pPr>
      <w:r w:rsidRPr="00E90A85">
        <w:rPr>
          <w:rFonts w:ascii="PermianSerifTypeface" w:hAnsi="PermianSerifTypeface"/>
          <w:color w:val="000000" w:themeColor="text1"/>
          <w:sz w:val="22"/>
          <w:szCs w:val="22"/>
        </w:rPr>
        <w:t xml:space="preserve">În </w:t>
      </w:r>
      <w:r w:rsidR="009F58C4" w:rsidRPr="00E90A85">
        <w:rPr>
          <w:rFonts w:ascii="PermianSerifTypeface" w:hAnsi="PermianSerifTypeface"/>
          <w:color w:val="000000" w:themeColor="text1"/>
          <w:sz w:val="22"/>
          <w:szCs w:val="22"/>
        </w:rPr>
        <w:t>c</w:t>
      </w:r>
      <w:r w:rsidR="006C5B45" w:rsidRPr="00E90A85">
        <w:rPr>
          <w:rFonts w:ascii="PermianSerifTypeface" w:hAnsi="PermianSerifTypeface"/>
          <w:color w:val="000000" w:themeColor="text1"/>
          <w:sz w:val="22"/>
          <w:szCs w:val="22"/>
        </w:rPr>
        <w:t xml:space="preserve">oloana 3, </w:t>
      </w:r>
      <w:r w:rsidR="00166166" w:rsidRPr="00E90A85">
        <w:rPr>
          <w:rFonts w:ascii="PermianSerifTypeface" w:hAnsi="PermianSerifTypeface"/>
          <w:color w:val="000000" w:themeColor="text1"/>
          <w:sz w:val="22"/>
          <w:szCs w:val="22"/>
        </w:rPr>
        <w:t xml:space="preserve">rândul 1, </w:t>
      </w:r>
      <w:r w:rsidR="006C5B45" w:rsidRPr="00E90A85">
        <w:rPr>
          <w:rFonts w:ascii="PermianSerifTypeface" w:hAnsi="PermianSerifTypeface"/>
          <w:color w:val="000000" w:themeColor="text1"/>
          <w:sz w:val="22"/>
          <w:szCs w:val="22"/>
        </w:rPr>
        <w:t>după textul „0,50%” se completează cu textul „ ,</w:t>
      </w:r>
      <w:r w:rsidR="00E90A85">
        <w:rPr>
          <w:rFonts w:ascii="PermianSerifTypeface" w:hAnsi="PermianSerifTypeface"/>
          <w:color w:val="000000" w:themeColor="text1"/>
          <w:sz w:val="22"/>
          <w:szCs w:val="22"/>
        </w:rPr>
        <w:t xml:space="preserve"> </w:t>
      </w:r>
      <w:r w:rsidR="006C5B45" w:rsidRPr="00E90A85">
        <w:rPr>
          <w:rFonts w:ascii="PermianSerifTypeface" w:hAnsi="PermianSerifTypeface"/>
          <w:color w:val="000000" w:themeColor="text1"/>
          <w:sz w:val="22"/>
          <w:szCs w:val="22"/>
        </w:rPr>
        <w:t>dar nu mai mult de 2,50 lei per tranzacție”</w:t>
      </w:r>
      <w:r w:rsidR="006C5B45" w:rsidRPr="00E90A85">
        <w:rPr>
          <w:rFonts w:ascii="PermianSerifTypeface" w:hAnsi="PermianSerifTypeface"/>
          <w:color w:val="000000" w:themeColor="text1"/>
          <w:sz w:val="22"/>
          <w:szCs w:val="22"/>
          <w:lang w:val="fr-FR"/>
        </w:rPr>
        <w:t>;</w:t>
      </w:r>
    </w:p>
    <w:p w14:paraId="09AC2A2E" w14:textId="4BB303AE" w:rsidR="00E90A85" w:rsidRPr="00E90A85" w:rsidRDefault="000152D6" w:rsidP="004E3071">
      <w:pPr>
        <w:pStyle w:val="BodyText2"/>
        <w:numPr>
          <w:ilvl w:val="2"/>
          <w:numId w:val="20"/>
        </w:numPr>
        <w:tabs>
          <w:tab w:val="left" w:pos="993"/>
        </w:tabs>
        <w:ind w:left="993" w:hanging="567"/>
        <w:jc w:val="both"/>
        <w:rPr>
          <w:rFonts w:ascii="PermianSerifTypeface" w:hAnsi="PermianSerifTypeface"/>
          <w:color w:val="000000" w:themeColor="text1"/>
          <w:sz w:val="22"/>
          <w:szCs w:val="22"/>
        </w:rPr>
      </w:pPr>
      <w:r w:rsidRPr="00E90A85">
        <w:rPr>
          <w:rFonts w:ascii="PermianSerifTypeface" w:hAnsi="PermianSerifTypeface"/>
          <w:color w:val="000000" w:themeColor="text1"/>
          <w:sz w:val="22"/>
          <w:szCs w:val="22"/>
        </w:rPr>
        <w:t xml:space="preserve">În </w:t>
      </w:r>
      <w:r w:rsidR="009F58C4" w:rsidRPr="00E90A85">
        <w:rPr>
          <w:rFonts w:ascii="PermianSerifTypeface" w:hAnsi="PermianSerifTypeface"/>
          <w:color w:val="000000" w:themeColor="text1"/>
          <w:sz w:val="22"/>
          <w:szCs w:val="22"/>
        </w:rPr>
        <w:t>c</w:t>
      </w:r>
      <w:r w:rsidR="006C5B45" w:rsidRPr="00E90A85">
        <w:rPr>
          <w:rFonts w:ascii="PermianSerifTypeface" w:hAnsi="PermianSerifTypeface"/>
          <w:color w:val="000000" w:themeColor="text1"/>
          <w:sz w:val="22"/>
          <w:szCs w:val="22"/>
        </w:rPr>
        <w:t xml:space="preserve">oloana 4, </w:t>
      </w:r>
      <w:r w:rsidR="00166166" w:rsidRPr="00E90A85">
        <w:rPr>
          <w:rFonts w:ascii="PermianSerifTypeface" w:hAnsi="PermianSerifTypeface"/>
          <w:color w:val="000000" w:themeColor="text1"/>
          <w:sz w:val="22"/>
          <w:szCs w:val="22"/>
        </w:rPr>
        <w:t xml:space="preserve">rândul 1, </w:t>
      </w:r>
      <w:r w:rsidR="006C5B45" w:rsidRPr="00E90A85">
        <w:rPr>
          <w:rFonts w:ascii="PermianSerifTypeface" w:hAnsi="PermianSerifTypeface"/>
          <w:color w:val="000000" w:themeColor="text1"/>
          <w:sz w:val="22"/>
          <w:szCs w:val="22"/>
        </w:rPr>
        <w:t>după textul „0,10%” se completează cu textul „ ,</w:t>
      </w:r>
      <w:r w:rsidR="00E90A85">
        <w:rPr>
          <w:rFonts w:ascii="PermianSerifTypeface" w:hAnsi="PermianSerifTypeface"/>
          <w:color w:val="000000" w:themeColor="text1"/>
          <w:sz w:val="22"/>
          <w:szCs w:val="22"/>
        </w:rPr>
        <w:t xml:space="preserve"> </w:t>
      </w:r>
      <w:r w:rsidR="006C5B45" w:rsidRPr="00E90A85">
        <w:rPr>
          <w:rFonts w:ascii="PermianSerifTypeface" w:hAnsi="PermianSerifTypeface"/>
          <w:color w:val="000000" w:themeColor="text1"/>
          <w:sz w:val="22"/>
          <w:szCs w:val="22"/>
        </w:rPr>
        <w:t>dar nu mai mult de 0,50 lei per tranzacție”</w:t>
      </w:r>
      <w:r w:rsidR="006C5B45" w:rsidRPr="00E90A85">
        <w:rPr>
          <w:rFonts w:ascii="PermianSerifTypeface" w:hAnsi="PermianSerifTypeface"/>
          <w:color w:val="000000" w:themeColor="text1"/>
          <w:sz w:val="22"/>
          <w:szCs w:val="22"/>
          <w:lang w:val="fr-FR"/>
        </w:rPr>
        <w:t>;</w:t>
      </w:r>
    </w:p>
    <w:p w14:paraId="2FDC182B" w14:textId="6D23835A" w:rsidR="00E90A85" w:rsidRPr="00E90A85" w:rsidRDefault="000152D6" w:rsidP="00CB2C03">
      <w:pPr>
        <w:pStyle w:val="BodyText2"/>
        <w:numPr>
          <w:ilvl w:val="2"/>
          <w:numId w:val="20"/>
        </w:numPr>
        <w:tabs>
          <w:tab w:val="left" w:pos="993"/>
        </w:tabs>
        <w:ind w:left="993" w:hanging="567"/>
        <w:jc w:val="both"/>
        <w:rPr>
          <w:rFonts w:ascii="PermianSerifTypeface" w:hAnsi="PermianSerifTypeface"/>
          <w:color w:val="000000" w:themeColor="text1"/>
          <w:sz w:val="22"/>
          <w:szCs w:val="22"/>
        </w:rPr>
      </w:pPr>
      <w:r w:rsidRPr="00E90A85">
        <w:rPr>
          <w:rFonts w:ascii="PermianSerifTypeface" w:hAnsi="PermianSerifTypeface"/>
          <w:color w:val="000000" w:themeColor="text1"/>
          <w:sz w:val="22"/>
          <w:szCs w:val="22"/>
        </w:rPr>
        <w:t xml:space="preserve">În </w:t>
      </w:r>
      <w:r w:rsidR="009F58C4" w:rsidRPr="00E90A85">
        <w:rPr>
          <w:rFonts w:ascii="PermianSerifTypeface" w:hAnsi="PermianSerifTypeface"/>
          <w:color w:val="000000" w:themeColor="text1"/>
          <w:sz w:val="22"/>
          <w:szCs w:val="22"/>
        </w:rPr>
        <w:t>c</w:t>
      </w:r>
      <w:r w:rsidR="006C5B45" w:rsidRPr="00E90A85">
        <w:rPr>
          <w:rFonts w:ascii="PermianSerifTypeface" w:hAnsi="PermianSerifTypeface"/>
          <w:color w:val="000000" w:themeColor="text1"/>
          <w:sz w:val="22"/>
          <w:szCs w:val="22"/>
        </w:rPr>
        <w:t xml:space="preserve">oloana 5, </w:t>
      </w:r>
      <w:r w:rsidR="00166166" w:rsidRPr="00E90A85">
        <w:rPr>
          <w:rFonts w:ascii="PermianSerifTypeface" w:hAnsi="PermianSerifTypeface"/>
          <w:color w:val="000000" w:themeColor="text1"/>
          <w:sz w:val="22"/>
          <w:szCs w:val="22"/>
        </w:rPr>
        <w:t xml:space="preserve">rândul 1, </w:t>
      </w:r>
      <w:r w:rsidR="006C5B45" w:rsidRPr="00E90A85">
        <w:rPr>
          <w:rFonts w:ascii="PermianSerifTypeface" w:hAnsi="PermianSerifTypeface"/>
          <w:color w:val="000000" w:themeColor="text1"/>
          <w:sz w:val="22"/>
          <w:szCs w:val="22"/>
        </w:rPr>
        <w:t>după textul „0,01%” se completează cu textul „ ,</w:t>
      </w:r>
      <w:r w:rsidR="00E90A85">
        <w:rPr>
          <w:rFonts w:ascii="PermianSerifTypeface" w:hAnsi="PermianSerifTypeface"/>
          <w:color w:val="000000" w:themeColor="text1"/>
          <w:sz w:val="22"/>
          <w:szCs w:val="22"/>
        </w:rPr>
        <w:t xml:space="preserve"> </w:t>
      </w:r>
      <w:r w:rsidR="006C5B45" w:rsidRPr="00E90A85">
        <w:rPr>
          <w:rFonts w:ascii="PermianSerifTypeface" w:hAnsi="PermianSerifTypeface"/>
          <w:color w:val="000000" w:themeColor="text1"/>
          <w:sz w:val="22"/>
          <w:szCs w:val="22"/>
        </w:rPr>
        <w:t>dar nu mai mult de 0,05 lei per tranzacție”</w:t>
      </w:r>
      <w:r w:rsidRPr="00E90A85">
        <w:rPr>
          <w:rFonts w:ascii="PermianSerifTypeface" w:hAnsi="PermianSerifTypeface"/>
          <w:color w:val="000000" w:themeColor="text1"/>
          <w:sz w:val="22"/>
          <w:szCs w:val="22"/>
        </w:rPr>
        <w:t xml:space="preserve"> ”, iar după textul „0,04%” </w:t>
      </w:r>
      <w:r w:rsidR="006C5B45" w:rsidRPr="00E90A85">
        <w:rPr>
          <w:rFonts w:ascii="PermianSerifTypeface" w:hAnsi="PermianSerifTypeface"/>
          <w:color w:val="000000" w:themeColor="text1"/>
          <w:sz w:val="22"/>
          <w:szCs w:val="22"/>
        </w:rPr>
        <w:t>se completează cu textul „ ,</w:t>
      </w:r>
      <w:r w:rsidR="00E90A85">
        <w:rPr>
          <w:rFonts w:ascii="PermianSerifTypeface" w:hAnsi="PermianSerifTypeface"/>
          <w:color w:val="000000" w:themeColor="text1"/>
          <w:sz w:val="22"/>
          <w:szCs w:val="22"/>
        </w:rPr>
        <w:t xml:space="preserve"> </w:t>
      </w:r>
      <w:r w:rsidR="006C5B45" w:rsidRPr="00E90A85">
        <w:rPr>
          <w:rFonts w:ascii="PermianSerifTypeface" w:hAnsi="PermianSerifTypeface"/>
          <w:color w:val="000000" w:themeColor="text1"/>
          <w:sz w:val="22"/>
          <w:szCs w:val="22"/>
        </w:rPr>
        <w:t>dar nu mai mult de 0,20 lei per tranzacție”</w:t>
      </w:r>
      <w:r w:rsidR="006C5B45" w:rsidRPr="00E90A85">
        <w:rPr>
          <w:rFonts w:ascii="PermianSerifTypeface" w:hAnsi="PermianSerifTypeface"/>
          <w:color w:val="000000" w:themeColor="text1"/>
          <w:sz w:val="22"/>
          <w:szCs w:val="22"/>
          <w:lang w:val="fr-FR"/>
        </w:rPr>
        <w:t>;</w:t>
      </w:r>
    </w:p>
    <w:p w14:paraId="49B655F2" w14:textId="141A34E5" w:rsidR="006C5B45" w:rsidRPr="00E90A85" w:rsidRDefault="000152D6" w:rsidP="00CB2C03">
      <w:pPr>
        <w:pStyle w:val="BodyText2"/>
        <w:numPr>
          <w:ilvl w:val="2"/>
          <w:numId w:val="20"/>
        </w:numPr>
        <w:tabs>
          <w:tab w:val="left" w:pos="993"/>
        </w:tabs>
        <w:ind w:left="993" w:hanging="567"/>
        <w:jc w:val="both"/>
        <w:rPr>
          <w:rFonts w:ascii="PermianSerifTypeface" w:hAnsi="PermianSerifTypeface"/>
          <w:color w:val="000000" w:themeColor="text1"/>
          <w:sz w:val="22"/>
          <w:szCs w:val="22"/>
        </w:rPr>
      </w:pPr>
      <w:r w:rsidRPr="00E90A85">
        <w:rPr>
          <w:rFonts w:ascii="PermianSerifTypeface" w:hAnsi="PermianSerifTypeface"/>
          <w:color w:val="000000" w:themeColor="text1"/>
          <w:sz w:val="22"/>
          <w:szCs w:val="22"/>
        </w:rPr>
        <w:lastRenderedPageBreak/>
        <w:t xml:space="preserve">În </w:t>
      </w:r>
      <w:r w:rsidR="009F58C4" w:rsidRPr="00E90A85">
        <w:rPr>
          <w:rFonts w:ascii="PermianSerifTypeface" w:hAnsi="PermianSerifTypeface"/>
          <w:color w:val="000000" w:themeColor="text1"/>
          <w:sz w:val="22"/>
          <w:szCs w:val="22"/>
        </w:rPr>
        <w:t>c</w:t>
      </w:r>
      <w:r w:rsidR="006C5B45" w:rsidRPr="00E90A85">
        <w:rPr>
          <w:rFonts w:ascii="PermianSerifTypeface" w:hAnsi="PermianSerifTypeface"/>
          <w:color w:val="000000" w:themeColor="text1"/>
          <w:sz w:val="22"/>
          <w:szCs w:val="22"/>
        </w:rPr>
        <w:t xml:space="preserve">oloana 6, </w:t>
      </w:r>
      <w:r w:rsidR="00166166" w:rsidRPr="00E90A85">
        <w:rPr>
          <w:rFonts w:ascii="PermianSerifTypeface" w:hAnsi="PermianSerifTypeface"/>
          <w:color w:val="000000" w:themeColor="text1"/>
          <w:sz w:val="22"/>
          <w:szCs w:val="22"/>
        </w:rPr>
        <w:t xml:space="preserve">rândul 1, </w:t>
      </w:r>
      <w:r w:rsidR="006C5B45" w:rsidRPr="00E90A85">
        <w:rPr>
          <w:rFonts w:ascii="PermianSerifTypeface" w:hAnsi="PermianSerifTypeface"/>
          <w:color w:val="000000" w:themeColor="text1"/>
          <w:sz w:val="22"/>
          <w:szCs w:val="22"/>
        </w:rPr>
        <w:t>textul „HCE BNM nr. 23 din 29 ianuarie 2024” se substituie cu textul „HCE BNM nr</w:t>
      </w:r>
      <w:r w:rsidR="006C5B45" w:rsidRPr="00695428">
        <w:rPr>
          <w:rFonts w:ascii="PermianSerifTypeface" w:hAnsi="PermianSerifTypeface"/>
          <w:color w:val="000000" w:themeColor="text1"/>
          <w:sz w:val="22"/>
          <w:szCs w:val="22"/>
        </w:rPr>
        <w:t>. X din X.X.</w:t>
      </w:r>
      <w:r w:rsidR="006C5B45" w:rsidRPr="00E90A85">
        <w:rPr>
          <w:rFonts w:ascii="PermianSerifTypeface" w:hAnsi="PermianSerifTypeface"/>
          <w:color w:val="000000" w:themeColor="text1"/>
          <w:sz w:val="22"/>
          <w:szCs w:val="22"/>
        </w:rPr>
        <w:t>2025”;</w:t>
      </w:r>
    </w:p>
    <w:bookmarkEnd w:id="1"/>
    <w:p w14:paraId="67CC8960" w14:textId="2309855C" w:rsidR="00FC0EC9" w:rsidRPr="002448FE" w:rsidRDefault="000152D6" w:rsidP="002448FE">
      <w:pPr>
        <w:pStyle w:val="BodyText2"/>
        <w:numPr>
          <w:ilvl w:val="0"/>
          <w:numId w:val="21"/>
        </w:numPr>
        <w:tabs>
          <w:tab w:val="left" w:pos="567"/>
        </w:tabs>
        <w:ind w:left="0" w:firstLine="360"/>
        <w:jc w:val="both"/>
        <w:rPr>
          <w:rFonts w:ascii="PermianSerifTypeface" w:hAnsi="PermianSerifTypeface"/>
          <w:color w:val="000000" w:themeColor="text1"/>
          <w:sz w:val="22"/>
          <w:szCs w:val="22"/>
        </w:rPr>
      </w:pPr>
      <w:r>
        <w:rPr>
          <w:rFonts w:ascii="PermianSerifTypeface" w:hAnsi="PermianSerifTypeface"/>
          <w:color w:val="000000" w:themeColor="text1"/>
          <w:sz w:val="22"/>
          <w:szCs w:val="22"/>
        </w:rPr>
        <w:t>T</w:t>
      </w:r>
      <w:r w:rsidR="002448FE" w:rsidRPr="002448FE">
        <w:rPr>
          <w:rFonts w:ascii="PermianSerifTypeface" w:hAnsi="PermianSerifTypeface"/>
          <w:color w:val="000000" w:themeColor="text1"/>
          <w:sz w:val="22"/>
          <w:szCs w:val="22"/>
        </w:rPr>
        <w:t xml:space="preserve">abelul </w:t>
      </w:r>
      <w:r w:rsidR="00363C97">
        <w:rPr>
          <w:rFonts w:ascii="PermianSerifTypeface" w:hAnsi="PermianSerifTypeface"/>
          <w:color w:val="000000" w:themeColor="text1"/>
          <w:sz w:val="22"/>
          <w:szCs w:val="22"/>
        </w:rPr>
        <w:t>„</w:t>
      </w:r>
      <w:r w:rsidR="002448FE" w:rsidRPr="002448FE">
        <w:rPr>
          <w:rFonts w:ascii="PermianSerifTypeface" w:hAnsi="PermianSerifTypeface"/>
          <w:color w:val="000000" w:themeColor="text1"/>
          <w:sz w:val="22"/>
          <w:szCs w:val="22"/>
        </w:rPr>
        <w:t xml:space="preserve">Comisioanele percepute de Banca Națională a Moldovei și prestatorii de servicii de plată pentru plățile P2G </w:t>
      </w:r>
      <w:r w:rsidR="004B2EBA" w:rsidRPr="004B2EBA">
        <w:rPr>
          <w:rFonts w:ascii="PermianSerifTypeface" w:hAnsi="PermianSerifTypeface"/>
          <w:color w:val="000000" w:themeColor="text1"/>
          <w:sz w:val="22"/>
          <w:szCs w:val="22"/>
        </w:rPr>
        <w:t xml:space="preserve">și B2P </w:t>
      </w:r>
      <w:r w:rsidR="002448FE" w:rsidRPr="002448FE">
        <w:rPr>
          <w:rFonts w:ascii="PermianSerifTypeface" w:hAnsi="PermianSerifTypeface"/>
          <w:color w:val="000000" w:themeColor="text1"/>
          <w:sz w:val="22"/>
          <w:szCs w:val="22"/>
        </w:rPr>
        <w:t>procesate în sistemul de plăți instant”</w:t>
      </w:r>
      <w:r w:rsidR="00E90A85">
        <w:rPr>
          <w:rFonts w:ascii="PermianSerifTypeface" w:hAnsi="PermianSerifTypeface"/>
          <w:color w:val="000000" w:themeColor="text1"/>
          <w:sz w:val="22"/>
          <w:szCs w:val="22"/>
        </w:rPr>
        <w:t xml:space="preserve"> </w:t>
      </w:r>
      <w:r w:rsidR="002448FE" w:rsidRPr="00430F27">
        <w:rPr>
          <w:rFonts w:ascii="PermianSerifTypeface" w:hAnsi="PermianSerifTypeface"/>
          <w:color w:val="000000" w:themeColor="text1"/>
          <w:sz w:val="22"/>
          <w:szCs w:val="22"/>
        </w:rPr>
        <w:t>va avea următorul cuprins:</w:t>
      </w:r>
    </w:p>
    <w:p w14:paraId="1EEF7593" w14:textId="77777777" w:rsidR="002448FE" w:rsidRPr="00E554A9" w:rsidRDefault="002448FE" w:rsidP="002448FE">
      <w:pPr>
        <w:pStyle w:val="Punct"/>
        <w:numPr>
          <w:ilvl w:val="0"/>
          <w:numId w:val="0"/>
        </w:numPr>
        <w:tabs>
          <w:tab w:val="clear" w:pos="1134"/>
          <w:tab w:val="left" w:pos="284"/>
          <w:tab w:val="left" w:pos="851"/>
          <w:tab w:val="left" w:pos="3828"/>
        </w:tabs>
        <w:spacing w:before="0"/>
        <w:ind w:left="142"/>
        <w:rPr>
          <w:rFonts w:ascii="PermianSerifTypeface" w:hAnsi="PermianSerifTypeface"/>
          <w:b/>
          <w:bCs/>
          <w:color w:val="000000" w:themeColor="text1"/>
        </w:rPr>
      </w:pPr>
    </w:p>
    <w:p w14:paraId="2EB66918" w14:textId="56EE37B0" w:rsidR="0068403E" w:rsidRPr="001777B1" w:rsidRDefault="00BD64E9" w:rsidP="00CC31B8">
      <w:pPr>
        <w:pStyle w:val="Punct"/>
        <w:numPr>
          <w:ilvl w:val="0"/>
          <w:numId w:val="0"/>
        </w:numPr>
        <w:tabs>
          <w:tab w:val="clear" w:pos="1134"/>
          <w:tab w:val="left" w:pos="284"/>
          <w:tab w:val="left" w:pos="851"/>
        </w:tabs>
        <w:spacing w:before="0" w:line="276" w:lineRule="auto"/>
        <w:jc w:val="center"/>
        <w:rPr>
          <w:rFonts w:ascii="PermianSerifTypeface" w:hAnsi="PermianSerifTypeface"/>
          <w:b/>
          <w:bCs/>
          <w:color w:val="000000" w:themeColor="text1"/>
          <w:lang w:val="ro-RO"/>
        </w:rPr>
      </w:pPr>
      <w:r w:rsidRPr="001777B1">
        <w:rPr>
          <w:rFonts w:ascii="PermianSerifTypeface" w:hAnsi="PermianSerifTypeface"/>
          <w:b/>
          <w:color w:val="000000" w:themeColor="text1"/>
          <w:lang w:val="ro-RO"/>
        </w:rPr>
        <w:t>Comisioanele percepute de Banca Națională a Moldovei și prestatorii de servicii de plată pentru plățile</w:t>
      </w:r>
      <w:r w:rsidR="00CC31B8" w:rsidRPr="001777B1">
        <w:rPr>
          <w:rFonts w:ascii="PermianSerifTypeface" w:hAnsi="PermianSerifTypeface"/>
          <w:b/>
          <w:color w:val="000000" w:themeColor="text1"/>
          <w:lang w:val="ro-RO"/>
        </w:rPr>
        <w:t xml:space="preserve"> P2G</w:t>
      </w:r>
      <w:r w:rsidRPr="001777B1">
        <w:rPr>
          <w:rFonts w:ascii="PermianSerifTypeface" w:hAnsi="PermianSerifTypeface"/>
          <w:b/>
          <w:color w:val="000000" w:themeColor="text1"/>
          <w:lang w:val="ro-RO"/>
        </w:rPr>
        <w:t xml:space="preserve"> </w:t>
      </w:r>
      <w:proofErr w:type="spellStart"/>
      <w:r w:rsidR="004B2EBA" w:rsidRPr="004B2EBA">
        <w:rPr>
          <w:rFonts w:ascii="PermianSerifTypeface" w:hAnsi="PermianSerifTypeface"/>
          <w:b/>
          <w:bCs/>
          <w:color w:val="000000" w:themeColor="text1"/>
          <w:lang w:val="fr-FR"/>
        </w:rPr>
        <w:t>și</w:t>
      </w:r>
      <w:proofErr w:type="spellEnd"/>
      <w:r w:rsidR="004B2EBA" w:rsidRPr="004B2EBA">
        <w:rPr>
          <w:rFonts w:ascii="PermianSerifTypeface" w:hAnsi="PermianSerifTypeface"/>
          <w:b/>
          <w:bCs/>
          <w:color w:val="000000" w:themeColor="text1"/>
          <w:lang w:val="fr-FR"/>
        </w:rPr>
        <w:t xml:space="preserve"> B2P </w:t>
      </w:r>
      <w:r w:rsidRPr="001777B1">
        <w:rPr>
          <w:rFonts w:ascii="PermianSerifTypeface" w:hAnsi="PermianSerifTypeface"/>
          <w:b/>
          <w:color w:val="000000" w:themeColor="text1"/>
          <w:lang w:val="ro-RO"/>
        </w:rPr>
        <w:t>procesate</w:t>
      </w:r>
      <w:r w:rsidRPr="001777B1">
        <w:rPr>
          <w:rFonts w:ascii="PermianSerifTypeface" w:hAnsi="PermianSerifTypeface"/>
          <w:b/>
          <w:bCs/>
          <w:color w:val="000000" w:themeColor="text1"/>
          <w:lang w:val="ro-RO"/>
        </w:rPr>
        <w:t xml:space="preserve"> în sistemul de plăți instant </w:t>
      </w:r>
    </w:p>
    <w:tbl>
      <w:tblPr>
        <w:tblStyle w:val="TableGrid"/>
        <w:tblpPr w:leftFromText="180" w:rightFromText="180" w:vertAnchor="text" w:horzAnchor="margin" w:tblpXSpec="center" w:tblpY="196"/>
        <w:tblW w:w="0" w:type="auto"/>
        <w:tblLook w:val="04A0" w:firstRow="1" w:lastRow="0" w:firstColumn="1" w:lastColumn="0" w:noHBand="0" w:noVBand="1"/>
      </w:tblPr>
      <w:tblGrid>
        <w:gridCol w:w="2263"/>
        <w:gridCol w:w="1843"/>
        <w:gridCol w:w="5239"/>
      </w:tblGrid>
      <w:tr w:rsidR="004B2EBA" w14:paraId="21D93269" w14:textId="77777777" w:rsidTr="004B2EBA">
        <w:trPr>
          <w:trHeight w:val="555"/>
        </w:trPr>
        <w:tc>
          <w:tcPr>
            <w:tcW w:w="2263" w:type="dxa"/>
            <w:shd w:val="clear" w:color="auto" w:fill="D0CECE" w:themeFill="background2" w:themeFillShade="E6"/>
            <w:vAlign w:val="center"/>
          </w:tcPr>
          <w:p w14:paraId="1661CF89" w14:textId="77777777" w:rsidR="004B2EBA" w:rsidRDefault="004B2EBA" w:rsidP="004514F8">
            <w:pPr>
              <w:pStyle w:val="Punct"/>
              <w:numPr>
                <w:ilvl w:val="0"/>
                <w:numId w:val="0"/>
              </w:numPr>
              <w:tabs>
                <w:tab w:val="clear" w:pos="1134"/>
                <w:tab w:val="left" w:pos="284"/>
                <w:tab w:val="left" w:pos="851"/>
                <w:tab w:val="left" w:pos="2268"/>
              </w:tabs>
              <w:spacing w:before="0"/>
              <w:jc w:val="center"/>
              <w:rPr>
                <w:rFonts w:ascii="PermianSerifTypeface" w:hAnsi="PermianSerifTypeface"/>
                <w:b/>
                <w:bCs/>
                <w:color w:val="000000" w:themeColor="text1"/>
                <w:lang w:val="ro-RO"/>
              </w:rPr>
            </w:pPr>
            <w:bookmarkStart w:id="2" w:name="_Hlk200695467"/>
            <w:r>
              <w:rPr>
                <w:rFonts w:ascii="PermianSerifTypeface" w:hAnsi="PermianSerifTypeface"/>
                <w:b/>
                <w:bCs/>
                <w:sz w:val="20"/>
                <w:szCs w:val="20"/>
                <w:lang w:val="ro-RO"/>
              </w:rPr>
              <w:t>Suma plății</w:t>
            </w:r>
          </w:p>
        </w:tc>
        <w:tc>
          <w:tcPr>
            <w:tcW w:w="1843" w:type="dxa"/>
            <w:shd w:val="clear" w:color="auto" w:fill="D0CECE" w:themeFill="background2" w:themeFillShade="E6"/>
          </w:tcPr>
          <w:p w14:paraId="58681042" w14:textId="451588BC" w:rsidR="004B2EBA" w:rsidRDefault="004B2EBA" w:rsidP="004B2EBA">
            <w:pPr>
              <w:pStyle w:val="Punct"/>
              <w:numPr>
                <w:ilvl w:val="0"/>
                <w:numId w:val="0"/>
              </w:numPr>
              <w:tabs>
                <w:tab w:val="clear" w:pos="1134"/>
                <w:tab w:val="left" w:pos="284"/>
                <w:tab w:val="left" w:pos="851"/>
                <w:tab w:val="left" w:pos="2268"/>
              </w:tabs>
              <w:jc w:val="center"/>
              <w:rPr>
                <w:rFonts w:ascii="PermianSerifTypeface" w:hAnsi="PermianSerifTypeface"/>
                <w:b/>
                <w:bCs/>
                <w:sz w:val="20"/>
                <w:szCs w:val="20"/>
                <w:lang w:val="ro-RO"/>
              </w:rPr>
            </w:pPr>
            <w:r>
              <w:rPr>
                <w:rFonts w:ascii="PermianSerifTypeface" w:hAnsi="PermianSerifTypeface"/>
                <w:b/>
                <w:bCs/>
                <w:sz w:val="20"/>
                <w:szCs w:val="20"/>
                <w:lang w:val="ro-RO"/>
              </w:rPr>
              <w:t>Tipul plății</w:t>
            </w:r>
          </w:p>
        </w:tc>
        <w:tc>
          <w:tcPr>
            <w:tcW w:w="5239" w:type="dxa"/>
            <w:shd w:val="clear" w:color="auto" w:fill="D0CECE" w:themeFill="background2" w:themeFillShade="E6"/>
            <w:vAlign w:val="center"/>
          </w:tcPr>
          <w:p w14:paraId="41638459" w14:textId="68F6A014" w:rsidR="004B2EBA" w:rsidRPr="000E2706" w:rsidRDefault="004B2EBA" w:rsidP="004514F8">
            <w:pPr>
              <w:pStyle w:val="Punct"/>
              <w:numPr>
                <w:ilvl w:val="0"/>
                <w:numId w:val="0"/>
              </w:numPr>
              <w:tabs>
                <w:tab w:val="clear" w:pos="1134"/>
                <w:tab w:val="left" w:pos="284"/>
                <w:tab w:val="left" w:pos="851"/>
                <w:tab w:val="left" w:pos="2268"/>
              </w:tabs>
              <w:spacing w:before="0"/>
              <w:jc w:val="center"/>
              <w:rPr>
                <w:rFonts w:ascii="PermianSerifTypeface" w:hAnsi="PermianSerifTypeface"/>
                <w:b/>
                <w:bCs/>
                <w:sz w:val="20"/>
                <w:szCs w:val="20"/>
                <w:lang w:val="ro-RO"/>
              </w:rPr>
            </w:pPr>
            <w:r>
              <w:rPr>
                <w:rFonts w:ascii="PermianSerifTypeface" w:hAnsi="PermianSerifTypeface"/>
                <w:b/>
                <w:bCs/>
                <w:sz w:val="20"/>
                <w:szCs w:val="20"/>
                <w:lang w:val="ro-RO"/>
              </w:rPr>
              <w:t>Comision perceput de BNM</w:t>
            </w:r>
          </w:p>
        </w:tc>
      </w:tr>
      <w:tr w:rsidR="004B2EBA" w:rsidRPr="000B1B63" w14:paraId="470862BB" w14:textId="77777777" w:rsidTr="004B2EBA">
        <w:trPr>
          <w:trHeight w:val="611"/>
        </w:trPr>
        <w:tc>
          <w:tcPr>
            <w:tcW w:w="2263" w:type="dxa"/>
            <w:vMerge w:val="restart"/>
            <w:vAlign w:val="center"/>
          </w:tcPr>
          <w:p w14:paraId="246FA516" w14:textId="2962E29C" w:rsidR="004B2EBA" w:rsidRPr="005D7572" w:rsidRDefault="004B2EBA" w:rsidP="004514F8">
            <w:pPr>
              <w:pStyle w:val="Punct"/>
              <w:numPr>
                <w:ilvl w:val="0"/>
                <w:numId w:val="0"/>
              </w:numPr>
              <w:tabs>
                <w:tab w:val="left" w:pos="284"/>
                <w:tab w:val="left" w:pos="851"/>
              </w:tabs>
              <w:jc w:val="left"/>
              <w:rPr>
                <w:rFonts w:ascii="PermianSerifTypeface" w:hAnsi="PermianSerifTypeface"/>
                <w:b/>
                <w:bCs/>
                <w:color w:val="000000" w:themeColor="text1"/>
                <w:sz w:val="20"/>
                <w:szCs w:val="20"/>
                <w:lang w:val="ro-RO"/>
              </w:rPr>
            </w:pPr>
            <w:r w:rsidRPr="00E86960">
              <w:rPr>
                <w:rFonts w:ascii="PermianSerifTypeface" w:hAnsi="PermianSerifTypeface"/>
                <w:bCs/>
                <w:color w:val="000000" w:themeColor="text1"/>
                <w:sz w:val="20"/>
                <w:szCs w:val="20"/>
              </w:rPr>
              <w:t xml:space="preserve">Până la </w:t>
            </w:r>
            <w:r w:rsidR="000F6C23">
              <w:rPr>
                <w:rFonts w:ascii="PermianSerifTypeface" w:hAnsi="PermianSerifTypeface"/>
                <w:bCs/>
                <w:color w:val="000000" w:themeColor="text1"/>
                <w:sz w:val="20"/>
                <w:szCs w:val="20"/>
              </w:rPr>
              <w:t>1</w:t>
            </w:r>
            <w:r w:rsidR="000F6C23" w:rsidRPr="005D7572">
              <w:rPr>
                <w:rFonts w:ascii="PermianSerifTypeface" w:hAnsi="PermianSerifTypeface"/>
                <w:bCs/>
                <w:color w:val="000000" w:themeColor="text1"/>
                <w:sz w:val="20"/>
                <w:szCs w:val="20"/>
              </w:rPr>
              <w:t>0</w:t>
            </w:r>
            <w:r w:rsidR="000F6C23" w:rsidRPr="00E86960">
              <w:rPr>
                <w:rFonts w:ascii="PermianSerifTypeface" w:hAnsi="PermianSerifTypeface"/>
                <w:bCs/>
                <w:color w:val="000000" w:themeColor="text1"/>
                <w:sz w:val="20"/>
                <w:szCs w:val="20"/>
                <w:lang w:val="en-US"/>
              </w:rPr>
              <w:t>0</w:t>
            </w:r>
            <w:r w:rsidR="000F6C23" w:rsidRPr="00E86960">
              <w:rPr>
                <w:rFonts w:ascii="PermianSerifTypeface" w:hAnsi="PermianSerifTypeface"/>
                <w:bCs/>
                <w:color w:val="000000" w:themeColor="text1"/>
                <w:sz w:val="20"/>
                <w:szCs w:val="20"/>
              </w:rPr>
              <w:t xml:space="preserve"> </w:t>
            </w:r>
            <w:r w:rsidRPr="00E86960">
              <w:rPr>
                <w:rFonts w:ascii="PermianSerifTypeface" w:hAnsi="PermianSerifTypeface"/>
                <w:bCs/>
                <w:color w:val="000000" w:themeColor="text1"/>
                <w:sz w:val="20"/>
                <w:szCs w:val="20"/>
              </w:rPr>
              <w:t xml:space="preserve">000 </w:t>
            </w:r>
            <w:r w:rsidRPr="005D7572">
              <w:rPr>
                <w:rFonts w:ascii="PermianSerifTypeface" w:hAnsi="PermianSerifTypeface"/>
                <w:bCs/>
                <w:color w:val="000000" w:themeColor="text1"/>
                <w:sz w:val="20"/>
                <w:szCs w:val="20"/>
              </w:rPr>
              <w:t>lei</w:t>
            </w:r>
          </w:p>
        </w:tc>
        <w:tc>
          <w:tcPr>
            <w:tcW w:w="1843" w:type="dxa"/>
          </w:tcPr>
          <w:p w14:paraId="7F82E249" w14:textId="090C147C" w:rsidR="004B2EBA" w:rsidRPr="00E554A9" w:rsidRDefault="004B2EBA" w:rsidP="004B2EBA">
            <w:pPr>
              <w:pStyle w:val="Punct"/>
              <w:numPr>
                <w:ilvl w:val="0"/>
                <w:numId w:val="0"/>
              </w:numPr>
              <w:tabs>
                <w:tab w:val="clear" w:pos="1134"/>
                <w:tab w:val="left" w:pos="284"/>
                <w:tab w:val="left" w:pos="851"/>
                <w:tab w:val="left" w:pos="2268"/>
              </w:tabs>
              <w:jc w:val="center"/>
              <w:rPr>
                <w:rFonts w:ascii="PermianSerifTypeface" w:hAnsi="PermianSerifTypeface"/>
                <w:color w:val="000000" w:themeColor="text1"/>
                <w:sz w:val="20"/>
                <w:szCs w:val="20"/>
                <w:lang w:val="ro-RO"/>
              </w:rPr>
            </w:pPr>
            <w:r>
              <w:rPr>
                <w:rFonts w:ascii="PermianSerifTypeface" w:hAnsi="PermianSerifTypeface"/>
                <w:color w:val="000000" w:themeColor="text1"/>
                <w:sz w:val="20"/>
                <w:szCs w:val="20"/>
                <w:lang w:val="ro-RO"/>
              </w:rPr>
              <w:t>P2G</w:t>
            </w:r>
          </w:p>
        </w:tc>
        <w:tc>
          <w:tcPr>
            <w:tcW w:w="5239" w:type="dxa"/>
            <w:vAlign w:val="center"/>
          </w:tcPr>
          <w:p w14:paraId="7694D6FB" w14:textId="2B448A85" w:rsidR="004B2EBA" w:rsidRPr="0068403E" w:rsidRDefault="004B2EBA" w:rsidP="002F7646">
            <w:pPr>
              <w:pStyle w:val="Punct"/>
              <w:numPr>
                <w:ilvl w:val="0"/>
                <w:numId w:val="0"/>
              </w:numPr>
              <w:tabs>
                <w:tab w:val="clear" w:pos="1134"/>
                <w:tab w:val="left" w:pos="284"/>
                <w:tab w:val="left" w:pos="851"/>
                <w:tab w:val="left" w:pos="2268"/>
              </w:tabs>
              <w:spacing w:before="0"/>
              <w:jc w:val="center"/>
              <w:rPr>
                <w:rFonts w:ascii="PermianSerifTypeface" w:hAnsi="PermianSerifTypeface"/>
                <w:i/>
                <w:iCs/>
                <w:color w:val="000000" w:themeColor="text1"/>
                <w:sz w:val="20"/>
                <w:szCs w:val="20"/>
                <w:lang w:val="ro-RO"/>
              </w:rPr>
            </w:pPr>
            <w:r w:rsidRPr="00E554A9">
              <w:rPr>
                <w:rFonts w:ascii="PermianSerifTypeface" w:hAnsi="PermianSerifTypeface"/>
                <w:color w:val="000000" w:themeColor="text1"/>
                <w:sz w:val="20"/>
                <w:szCs w:val="20"/>
                <w:lang w:val="ro-RO"/>
              </w:rPr>
              <w:t xml:space="preserve">0,05 % per tranzacție, dar nu mai mult de </w:t>
            </w:r>
            <w:r>
              <w:rPr>
                <w:rFonts w:ascii="PermianSerifTypeface" w:hAnsi="PermianSerifTypeface"/>
                <w:color w:val="000000" w:themeColor="text1"/>
                <w:sz w:val="20"/>
                <w:szCs w:val="20"/>
                <w:lang w:val="ro-RO"/>
              </w:rPr>
              <w:t>0,25</w:t>
            </w:r>
            <w:r w:rsidRPr="00E554A9">
              <w:rPr>
                <w:rFonts w:ascii="PermianSerifTypeface" w:hAnsi="PermianSerifTypeface"/>
                <w:color w:val="000000" w:themeColor="text1"/>
                <w:sz w:val="20"/>
                <w:szCs w:val="20"/>
                <w:lang w:val="ro-RO"/>
              </w:rPr>
              <w:t xml:space="preserve"> lei per tranzacție (de la participantul plătitor)</w:t>
            </w:r>
          </w:p>
        </w:tc>
      </w:tr>
      <w:tr w:rsidR="004B2EBA" w:rsidRPr="000B1B63" w14:paraId="30E810AB" w14:textId="77777777" w:rsidTr="004B2EBA">
        <w:trPr>
          <w:trHeight w:val="611"/>
        </w:trPr>
        <w:tc>
          <w:tcPr>
            <w:tcW w:w="2263" w:type="dxa"/>
            <w:vMerge/>
            <w:vAlign w:val="center"/>
          </w:tcPr>
          <w:p w14:paraId="35B9A580" w14:textId="77777777" w:rsidR="004B2EBA" w:rsidRPr="00E86960" w:rsidRDefault="004B2EBA" w:rsidP="004514F8">
            <w:pPr>
              <w:pStyle w:val="Punct"/>
              <w:numPr>
                <w:ilvl w:val="0"/>
                <w:numId w:val="0"/>
              </w:numPr>
              <w:tabs>
                <w:tab w:val="left" w:pos="284"/>
                <w:tab w:val="left" w:pos="851"/>
              </w:tabs>
              <w:jc w:val="left"/>
              <w:rPr>
                <w:rFonts w:ascii="PermianSerifTypeface" w:hAnsi="PermianSerifTypeface"/>
                <w:bCs/>
                <w:color w:val="000000" w:themeColor="text1"/>
                <w:sz w:val="20"/>
                <w:szCs w:val="20"/>
              </w:rPr>
            </w:pPr>
          </w:p>
        </w:tc>
        <w:tc>
          <w:tcPr>
            <w:tcW w:w="1843" w:type="dxa"/>
          </w:tcPr>
          <w:p w14:paraId="2E0EFB10" w14:textId="5F72D839" w:rsidR="004B2EBA" w:rsidRPr="00E554A9" w:rsidRDefault="004B2EBA" w:rsidP="004B2EBA">
            <w:pPr>
              <w:pStyle w:val="Punct"/>
              <w:numPr>
                <w:ilvl w:val="0"/>
                <w:numId w:val="0"/>
              </w:numPr>
              <w:tabs>
                <w:tab w:val="clear" w:pos="1134"/>
                <w:tab w:val="left" w:pos="284"/>
                <w:tab w:val="left" w:pos="851"/>
                <w:tab w:val="left" w:pos="2268"/>
              </w:tabs>
              <w:jc w:val="center"/>
              <w:rPr>
                <w:rFonts w:ascii="PermianSerifTypeface" w:hAnsi="PermianSerifTypeface"/>
                <w:color w:val="000000" w:themeColor="text1"/>
                <w:sz w:val="20"/>
                <w:szCs w:val="20"/>
                <w:lang w:val="ro-RO"/>
              </w:rPr>
            </w:pPr>
            <w:r>
              <w:rPr>
                <w:rFonts w:ascii="PermianSerifTypeface" w:hAnsi="PermianSerifTypeface"/>
                <w:color w:val="000000" w:themeColor="text1"/>
                <w:sz w:val="20"/>
                <w:szCs w:val="20"/>
                <w:lang w:val="ro-RO"/>
              </w:rPr>
              <w:t>B2P</w:t>
            </w:r>
          </w:p>
        </w:tc>
        <w:tc>
          <w:tcPr>
            <w:tcW w:w="5239" w:type="dxa"/>
            <w:vAlign w:val="center"/>
          </w:tcPr>
          <w:p w14:paraId="0FC26D4E" w14:textId="0FB95B1D" w:rsidR="004B2EBA" w:rsidRPr="00E554A9" w:rsidRDefault="004B2EBA" w:rsidP="002F7646">
            <w:pPr>
              <w:pStyle w:val="Punct"/>
              <w:numPr>
                <w:ilvl w:val="0"/>
                <w:numId w:val="0"/>
              </w:numPr>
              <w:tabs>
                <w:tab w:val="clear" w:pos="1134"/>
                <w:tab w:val="left" w:pos="284"/>
                <w:tab w:val="left" w:pos="851"/>
                <w:tab w:val="left" w:pos="2268"/>
              </w:tabs>
              <w:spacing w:before="0"/>
              <w:jc w:val="center"/>
              <w:rPr>
                <w:rFonts w:ascii="PermianSerifTypeface" w:hAnsi="PermianSerifTypeface"/>
                <w:color w:val="000000" w:themeColor="text1"/>
                <w:sz w:val="20"/>
                <w:szCs w:val="20"/>
                <w:lang w:val="ro-RO"/>
              </w:rPr>
            </w:pPr>
            <w:r w:rsidRPr="00E554A9">
              <w:rPr>
                <w:rFonts w:ascii="PermianSerifTypeface" w:hAnsi="PermianSerifTypeface"/>
                <w:color w:val="000000" w:themeColor="text1"/>
                <w:sz w:val="20"/>
                <w:szCs w:val="20"/>
                <w:lang w:val="ro-RO"/>
              </w:rPr>
              <w:t xml:space="preserve">0,05 % per tranzacție, dar nu mai mult de </w:t>
            </w:r>
            <w:r>
              <w:rPr>
                <w:rFonts w:ascii="PermianSerifTypeface" w:hAnsi="PermianSerifTypeface"/>
                <w:color w:val="000000" w:themeColor="text1"/>
                <w:sz w:val="20"/>
                <w:szCs w:val="20"/>
                <w:lang w:val="ro-RO"/>
              </w:rPr>
              <w:t>5,00</w:t>
            </w:r>
            <w:r w:rsidRPr="00E554A9">
              <w:rPr>
                <w:rFonts w:ascii="PermianSerifTypeface" w:hAnsi="PermianSerifTypeface"/>
                <w:color w:val="000000" w:themeColor="text1"/>
                <w:sz w:val="20"/>
                <w:szCs w:val="20"/>
                <w:lang w:val="ro-RO"/>
              </w:rPr>
              <w:t xml:space="preserve"> lei per tranzacție (de la participantul plătitor)</w:t>
            </w:r>
          </w:p>
        </w:tc>
      </w:tr>
      <w:bookmarkEnd w:id="2"/>
    </w:tbl>
    <w:p w14:paraId="0AC5E88D" w14:textId="77777777" w:rsidR="00F23225" w:rsidRPr="00962705" w:rsidRDefault="00F23225" w:rsidP="00814F8B">
      <w:pPr>
        <w:tabs>
          <w:tab w:val="left" w:pos="851"/>
          <w:tab w:val="left" w:pos="993"/>
        </w:tabs>
        <w:rPr>
          <w:lang w:val="fr-FR"/>
        </w:rPr>
      </w:pPr>
    </w:p>
    <w:p w14:paraId="122F44CD" w14:textId="1B5738C8" w:rsidR="00814F8B" w:rsidRPr="0018095A" w:rsidRDefault="00814F8B" w:rsidP="0018095A">
      <w:pPr>
        <w:pStyle w:val="ListParagraph"/>
        <w:numPr>
          <w:ilvl w:val="0"/>
          <w:numId w:val="20"/>
        </w:numPr>
        <w:tabs>
          <w:tab w:val="left" w:pos="851"/>
          <w:tab w:val="left" w:pos="993"/>
        </w:tabs>
        <w:jc w:val="both"/>
        <w:rPr>
          <w:rFonts w:ascii="PermianSerifTypeface" w:hAnsi="PermianSerifTypeface"/>
        </w:rPr>
      </w:pPr>
      <w:r w:rsidRPr="0018095A">
        <w:rPr>
          <w:rFonts w:ascii="PermianSerifTypeface" w:hAnsi="PermianSerifTypeface"/>
          <w:bCs/>
          <w:lang w:val="ro-RO"/>
        </w:rPr>
        <w:t xml:space="preserve">Prezenta hotărâre intră în vigoare la data </w:t>
      </w:r>
      <w:r w:rsidR="00A9072D" w:rsidRPr="0018095A">
        <w:rPr>
          <w:rFonts w:ascii="PermianSerifTypeface" w:hAnsi="PermianSerifTypeface"/>
          <w:bCs/>
          <w:lang w:val="ro-RO"/>
        </w:rPr>
        <w:t>publicării în Monitorul Oficial al Republicii Moldova</w:t>
      </w:r>
      <w:r w:rsidRPr="0018095A">
        <w:rPr>
          <w:rFonts w:ascii="PermianSerifTypeface" w:hAnsi="PermianSerifTypeface"/>
          <w:bCs/>
          <w:lang w:val="ro-RO"/>
        </w:rPr>
        <w:t>.</w:t>
      </w:r>
    </w:p>
    <w:sectPr w:rsidR="00814F8B" w:rsidRPr="0018095A" w:rsidSect="008E0D2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BD4E" w14:textId="77777777" w:rsidR="003830B1" w:rsidRDefault="003830B1" w:rsidP="007146FC">
      <w:pPr>
        <w:spacing w:after="0" w:line="240" w:lineRule="auto"/>
      </w:pPr>
      <w:r>
        <w:separator/>
      </w:r>
    </w:p>
  </w:endnote>
  <w:endnote w:type="continuationSeparator" w:id="0">
    <w:p w14:paraId="40E183B6" w14:textId="77777777" w:rsidR="003830B1" w:rsidRDefault="003830B1" w:rsidP="0071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56AF" w14:textId="0E6AEC43" w:rsidR="007146FC" w:rsidRDefault="000B1B63" w:rsidP="007146FC">
    <w:pPr>
      <w:pStyle w:val="Footer"/>
      <w:jc w:val="center"/>
    </w:pPr>
    <w:bookmarkStart w:id="5" w:name="TITUS1FooterEvenPages"/>
    <w:r>
      <w:rPr>
        <w:noProof/>
      </w:rPr>
      <mc:AlternateContent>
        <mc:Choice Requires="wps">
          <w:drawing>
            <wp:anchor distT="0" distB="0" distL="0" distR="0" simplePos="0" relativeHeight="251668480" behindDoc="0" locked="0" layoutInCell="1" allowOverlap="1" wp14:anchorId="36F688CD" wp14:editId="023EA6E3">
              <wp:simplePos x="1076325" y="9734550"/>
              <wp:positionH relativeFrom="page">
                <wp:align>center</wp:align>
              </wp:positionH>
              <wp:positionV relativeFrom="page">
                <wp:align>bottom</wp:align>
              </wp:positionV>
              <wp:extent cx="2156460" cy="324485"/>
              <wp:effectExtent l="0" t="0" r="15240" b="0"/>
              <wp:wrapNone/>
              <wp:docPr id="2016948517" name="Text Box 5"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143B391B" w14:textId="3F0A8D3C"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688CD" id="_x0000_t202" coordsize="21600,21600" o:spt="202" path="m,l,21600r21600,l21600,xe">
              <v:stroke joinstyle="miter"/>
              <v:path gradientshapeok="t" o:connecttype="rect"/>
            </v:shapetype>
            <v:shape id="Text Box 5" o:spid="_x0000_s1028" type="#_x0000_t202" alt="Informaţie Publică – Document creat în cadrul BNM." style="position:absolute;left:0;text-align:left;margin-left:0;margin-top:0;width:169.8pt;height:25.5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fIXDwIAAB0EAAAOAAAAZHJzL2Uyb0RvYy54bWysU8Fu2zAMvQ/YPwi6L3ayJGiNOEXWIsOA oC2QFj0rshQbkERBUmJnXz9KjpOt3WnYRaZJ6pF8fFrcdVqRo3C+AVPS8SinRBgOVWP2JX19WX+5 ocQHZiqmwIiSnoSnd8vPnxatLcQEalCVcARBjC9aW9I6BFtkmee10MyPwAqDQQlOs4C/bp9VjrWI rlU2yfN51oKrrAMuvEfvQx+ky4QvpeDhSUovAlElxd5COl06d/HMlgtW7B2zdcPPbbB/6EKzxmDR C9QDC4wcXPMBSjfcgQcZRhx0BlI2XKQZcJpx/m6abc2sSLMgOd5eaPL/D5Y/Hrf22ZHQfYMOFxgJ aa0vPDrjPJ10On6xU4JxpPB0oU10gXB0Tsaz+XSOIY6xr5Pp9GYWYbLrbet8+C5Ak2iU1OFaElvs uPGhTx1SYjED60aptBpl/nAgZvRk1xajFbpdR5oKOxna30F1wqkc9Av3lq8bLL1hPjwzhxvGblG1 4QkPqaAtKZwtSmpwP//mj/lIPEYpaVExJTUoaUrUD4MLieIaDDcYu2SMb/NZjnFz0PeAOhzjk7A8 meh1QQ2mdKDfUM+rWAhDzHAsV9LdYN6HXrr4HrhYrVIS6siysDFbyyN0pCty+dK9MWfPhAdc1SMM cmLFO9773HjT29UhIPtpKZHansgz46jBtNbze4ki//0/ZV1f9fIXAAAA//8DAFBLAwQUAAYACAAA ACEAmvmqQdsAAAAEAQAADwAAAGRycy9kb3ducmV2LnhtbEyPwWrCQBCG70LfYZlCb7qJodKm2YgI niwFtZfe1t0xSZudDdmNxrfv1Iu9DAz/zzffFMvRteKMfWg8KUhnCQgk421DlYLPw2b6AiJETVa3 nlDBFQMsy4dJoXPrL7TD8z5WgiEUcq2gjrHLpQymRqfDzHdInJ1873Tkta+k7fWF4a6V8yRZSKcb 4gu17nBdo/nZD07B8y6+Dx90yL7G+fV7261NdtoapZ4ex9UbiIhjvJfhT5/VoWSnox/IBtEq4Efi bXKWZa8LEEcGpynIspD/5ctfAAAA//8DAFBLAQItABQABgAIAAAAIQC2gziS/gAAAOEBAAATAAAA AAAAAAAAAAAAAAAAAABbQ29udGVudF9UeXBlc10ueG1sUEsBAi0AFAAGAAgAAAAhADj9If/WAAAA lAEAAAsAAAAAAAAAAAAAAAAALwEAAF9yZWxzLy5yZWxzUEsBAi0AFAAGAAgAAAAhAHf98hcPAgAA HQQAAA4AAAAAAAAAAAAAAAAALgIAAGRycy9lMm9Eb2MueG1sUEsBAi0AFAAGAAgAAAAhAJr5qkHb AAAABAEAAA8AAAAAAAAAAAAAAAAAaQQAAGRycy9kb3ducmV2LnhtbFBLBQYAAAAABAAEAPMAAABx BQAAAAA= " filled="f" stroked="f">
              <v:fill o:detectmouseclick="t"/>
              <v:textbox style="mso-fit-shape-to-text:t" inset="0,0,0,15pt">
                <w:txbxContent>
                  <w:p w14:paraId="143B391B" w14:textId="3F0A8D3C"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v:textbox>
              <w10:wrap anchorx="page" anchory="page"/>
            </v:shape>
          </w:pict>
        </mc:Fallback>
      </mc:AlternateContent>
    </w:r>
    <w:r w:rsidR="007146FC">
      <w:t xml:space="preserve"> </w:t>
    </w:r>
  </w:p>
  <w:p w14:paraId="553C7587" w14:textId="77777777" w:rsidR="007146FC" w:rsidRDefault="007146FC" w:rsidP="007146FC">
    <w:pPr>
      <w:pStyle w:val="Footer"/>
    </w:pPr>
    <w:r>
      <w:t xml:space="preserve"> </w:t>
    </w:r>
  </w:p>
  <w:bookmarkEnd w:id="5"/>
  <w:p w14:paraId="0B75A2EC" w14:textId="77777777" w:rsidR="007146FC" w:rsidRDefault="0071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0E4B" w14:textId="4939D2E7" w:rsidR="007146FC" w:rsidRDefault="000B1B63" w:rsidP="007146FC">
    <w:pPr>
      <w:pStyle w:val="Footer"/>
      <w:jc w:val="center"/>
    </w:pPr>
    <w:bookmarkStart w:id="6" w:name="TITUS1FooterPrimary"/>
    <w:r>
      <w:rPr>
        <w:noProof/>
      </w:rPr>
      <mc:AlternateContent>
        <mc:Choice Requires="wps">
          <w:drawing>
            <wp:anchor distT="0" distB="0" distL="0" distR="0" simplePos="0" relativeHeight="251669504" behindDoc="0" locked="0" layoutInCell="1" allowOverlap="1" wp14:anchorId="4A5CD5D6" wp14:editId="6AA056BE">
              <wp:simplePos x="1076325" y="9734550"/>
              <wp:positionH relativeFrom="page">
                <wp:align>center</wp:align>
              </wp:positionH>
              <wp:positionV relativeFrom="page">
                <wp:align>bottom</wp:align>
              </wp:positionV>
              <wp:extent cx="2156460" cy="324485"/>
              <wp:effectExtent l="0" t="0" r="15240" b="0"/>
              <wp:wrapNone/>
              <wp:docPr id="347624743" name="Text Box 6"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7F29C2E3" w14:textId="00268ABC"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CD5D6" id="_x0000_t202" coordsize="21600,21600" o:spt="202" path="m,l,21600r21600,l21600,xe">
              <v:stroke joinstyle="miter"/>
              <v:path gradientshapeok="t" o:connecttype="rect"/>
            </v:shapetype>
            <v:shape id="Text Box 6" o:spid="_x0000_s1029" type="#_x0000_t202" alt="Informaţie Publică – Document creat în cadrul BNM." style="position:absolute;left:0;text-align:left;margin-left:0;margin-top:0;width:169.8pt;height:25.5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kAqDgIAAB0EAAAOAAAAZHJzL2Uyb0RvYy54bWysU8Fu2zAMvQ/YPwi6L3ayJGiNOEXWIsOA oC2QFj0rshQbkERBUmJnXz9KjpOt3WnYRaZJ6pF8fFrcdVqRo3C+AVPS8SinRBgOVWP2JX19WX+5 ocQHZiqmwIiSnoSnd8vPnxatLcQEalCVcARBjC9aW9I6BFtkmee10MyPwAqDQQlOs4C/bp9VjrWI rlU2yfN51oKrrAMuvEfvQx+ky4QvpeDhSUovAlElxd5COl06d/HMlgtW7B2zdcPPbbB/6EKzxmDR C9QDC4wcXPMBSjfcgQcZRhx0BlI2XKQZcJpx/m6abc2sSLMgOd5eaPL/D5Y/Hrf22ZHQfYMOFxgJ aa0vPDrjPJ10On6xU4JxpPB0oU10gXB0Tsaz+XSOIY6xr5Pp9GYWYbLrbet8+C5Ak2iU1OFaElvs uPGhTx1SYjED60aptBpl/nAgZvRk1xajFbpdR5oKiw/t76A64VQO+oV7y9cNlt4wH56Zww1jt6ja 8ISHVNCWFM4WJTW4n3/zx3wkHqOUtKiYkhqUNCXqh8GFRHENhhuMXTLGt/ksx7g56HtAHY7xSVie TPS6oAZTOtBvqOdVLIQhZjiWK+luMO9DL118D1ysVikJdWRZ2Jit5RE60hW5fOnemLNnwgOu6hEG ObHiHe99brzp7eoQkP20lEhtT+SZcdRgWuv5vUSR//6fsq6vevkLAAD//wMAUEsDBBQABgAIAAAA IQCa+apB2wAAAAQBAAAPAAAAZHJzL2Rvd25yZXYueG1sTI/BasJAEIbvQt9hmUJvuomh0qbZiAie LAW1l97W3TFJm50N2Y3Gt+/Ui70MDP/PN98Uy9G14ox9aDwpSGcJCCTjbUOVgs/DZvoCIkRNVree UMEVAyzLh0mhc+svtMPzPlaCIRRyraCOsculDKZGp8PMd0icnXzvdOS1r6Tt9YXhrpXzJFlIpxvi C7XucF2j+dkPTsHzLr4PH3TIvsb59XvbrU122hqlnh7H1RuIiGO8l+FPn9WhZKejH8gG0SrgR+Jt cpZlrwsQRwanKciykP/ly18AAAD//wMAUEsBAi0AFAAGAAgAAAAhALaDOJL+AAAA4QEAABMAAAAA AAAAAAAAAAAAAAAAAFtDb250ZW50X1R5cGVzXS54bWxQSwECLQAUAAYACAAAACEAOP0h/9YAAACU AQAACwAAAAAAAAAAAAAAAAAvAQAAX3JlbHMvLnJlbHNQSwECLQAUAAYACAAAACEAGkJAKg4CAAAd BAAADgAAAAAAAAAAAAAAAAAuAgAAZHJzL2Uyb0RvYy54bWxQSwECLQAUAAYACAAAACEAmvmqQdsA AAAEAQAADwAAAAAAAAAAAAAAAABoBAAAZHJzL2Rvd25yZXYueG1sUEsFBgAAAAAEAAQA8wAAAHAF AAAAAA== " filled="f" stroked="f">
              <v:fill o:detectmouseclick="t"/>
              <v:textbox style="mso-fit-shape-to-text:t" inset="0,0,0,15pt">
                <w:txbxContent>
                  <w:p w14:paraId="7F29C2E3" w14:textId="00268ABC"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v:textbox>
              <w10:wrap anchorx="page" anchory="page"/>
            </v:shape>
          </w:pict>
        </mc:Fallback>
      </mc:AlternateContent>
    </w:r>
    <w:r w:rsidR="007146FC">
      <w:t xml:space="preserve"> </w:t>
    </w:r>
  </w:p>
  <w:p w14:paraId="4BB63C4C" w14:textId="77777777" w:rsidR="007146FC" w:rsidRDefault="007146FC" w:rsidP="007146FC">
    <w:pPr>
      <w:pStyle w:val="Footer"/>
    </w:pPr>
    <w:r>
      <w:t xml:space="preserve"> </w:t>
    </w:r>
  </w:p>
  <w:bookmarkEnd w:id="6"/>
  <w:p w14:paraId="2933FC6A" w14:textId="77777777" w:rsidR="007146FC" w:rsidRDefault="00714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D8F7" w14:textId="533B04BC" w:rsidR="00962705" w:rsidRDefault="000B1B63">
    <w:pPr>
      <w:pStyle w:val="Footer"/>
    </w:pPr>
    <w:r>
      <w:rPr>
        <w:noProof/>
      </w:rPr>
      <mc:AlternateContent>
        <mc:Choice Requires="wps">
          <w:drawing>
            <wp:anchor distT="0" distB="0" distL="0" distR="0" simplePos="0" relativeHeight="251667456" behindDoc="0" locked="0" layoutInCell="1" allowOverlap="1" wp14:anchorId="1A3189F3" wp14:editId="0F029849">
              <wp:simplePos x="635" y="635"/>
              <wp:positionH relativeFrom="page">
                <wp:align>center</wp:align>
              </wp:positionH>
              <wp:positionV relativeFrom="page">
                <wp:align>bottom</wp:align>
              </wp:positionV>
              <wp:extent cx="2156460" cy="324485"/>
              <wp:effectExtent l="0" t="0" r="15240" b="0"/>
              <wp:wrapNone/>
              <wp:docPr id="1442310975" name="Text Box 4"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20FF9049" w14:textId="074F1112"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189F3" id="_x0000_t202" coordsize="21600,21600" o:spt="202" path="m,l,21600r21600,l21600,xe">
              <v:stroke joinstyle="miter"/>
              <v:path gradientshapeok="t" o:connecttype="rect"/>
            </v:shapetype>
            <v:shape id="Text Box 4" o:spid="_x0000_s1031" type="#_x0000_t202" alt="Informaţie Publică – Document creat în cadrul BNM." style="position:absolute;margin-left:0;margin-top:0;width:169.8pt;height:25.5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we+nDgIAAB0EAAAOAAAAZHJzL2Uyb0RvYy54bWysU8Fu2zAMvQ/YPwi6L3ayJGiNOEXWIsOA oC2QDj0rshQbkEWBUmJnXz9KiZut22nYRaZJ6pF8fFrc9a1hR4W+AVvy8SjnTFkJVWP3Jf/+sv50 w5kPwlbCgFUlPynP75YfPyw6V6gJ1GAqhYxArC86V/I6BFdkmZe1aoUfgVOWghqwFYF+cZ9VKDpC b002yfN51gFWDkEq78n7cA7yZcLXWsnwpLVXgZmSU28hnZjOXTyz5UIUexSubuSlDfEPXbSisVT0 DepBBMEO2PwB1TYSwYMOIwltBlo3UqUZaJpx/m6abS2cSrMQOd690eT/H6x8PG7dM7LQf4GeFhgJ 6ZwvPDnjPL3GNn6pU0ZxovD0RpvqA5PknIxn8+mcQpJinyfT6c0swmTX2w59+KqgZdEoOdJaElvi uPHhnDqkxGIW1o0xaTXG/uYgzOjJri1GK/S7njVVyVPd6NlBdaKpEM4L906uGyq9ET48C6QNU7ek 2vBEhzbQlRwuFmc14I+/+WM+EU9RzjpSTMktSZoz883SQqK4BgMHY5eM8W0+yyluD+09kA7H9CSc TCZ5MZjB1AjtK+l5FQtRSFhJ5Uq+G8z7cJYuvQepVquURDpyImzs1skIHemKXL70rwLdhfBAq3qE QU6ieMf7OTfe9G51CMR+WsqVyAvjpMG01st7iSL/9T9lXV/18icAAAD//wMAUEsDBBQABgAIAAAA IQCa+apB2wAAAAQBAAAPAAAAZHJzL2Rvd25yZXYueG1sTI/BasJAEIbvQt9hmUJvuomh0qbZiAie LAW1l97W3TFJm50N2Y3Gt+/Ui70MDP/PN98Uy9G14ox9aDwpSGcJCCTjbUOVgs/DZvoCIkRNVree UMEVAyzLh0mhc+svtMPzPlaCIRRyraCOsculDKZGp8PMd0icnXzvdOS1r6Tt9YXhrpXzJFlIpxvi C7XucF2j+dkPTsHzLr4PH3TIvsb59XvbrU122hqlnh7H1RuIiGO8l+FPn9WhZKejH8gG0SrgR+Jt cpZlrwsQRwanKciykP/ly18AAAD//wMAUEsBAi0AFAAGAAgAAAAhALaDOJL+AAAA4QEAABMAAAAA AAAAAAAAAAAAAAAAAFtDb250ZW50X1R5cGVzXS54bWxQSwECLQAUAAYACAAAACEAOP0h/9YAAACU AQAACwAAAAAAAAAAAAAAAAAvAQAAX3JlbHMvLnJlbHNQSwECLQAUAAYACAAAACEAdMHvpw4CAAAd BAAADgAAAAAAAAAAAAAAAAAuAgAAZHJzL2Uyb0RvYy54bWxQSwECLQAUAAYACAAAACEAmvmqQdsA AAAEAQAADwAAAAAAAAAAAAAAAABoBAAAZHJzL2Rvd25yZXYueG1sUEsFBgAAAAAEAAQA8wAAAHAF AAAAAA== " filled="f" stroked="f">
              <v:fill o:detectmouseclick="t"/>
              <v:textbox style="mso-fit-shape-to-text:t" inset="0,0,0,15pt">
                <w:txbxContent>
                  <w:p w14:paraId="20FF9049" w14:textId="074F1112" w:rsidR="000B1B63" w:rsidRPr="000B1B63" w:rsidRDefault="000B1B63" w:rsidP="000B1B63">
                    <w:pPr>
                      <w:spacing w:after="0"/>
                      <w:rPr>
                        <w:rFonts w:ascii="Calibri" w:eastAsia="Calibri" w:hAnsi="Calibri" w:cs="Calibri"/>
                        <w:noProof/>
                        <w:color w:val="000000"/>
                        <w:sz w:val="16"/>
                        <w:szCs w:val="16"/>
                        <w:lang w:val="fr-FR"/>
                      </w:rPr>
                    </w:pPr>
                    <w:r w:rsidRPr="000B1B63">
                      <w:rPr>
                        <w:rFonts w:ascii="Calibri" w:eastAsia="Calibri" w:hAnsi="Calibri" w:cs="Calibri"/>
                        <w:noProof/>
                        <w:color w:val="000000"/>
                        <w:sz w:val="16"/>
                        <w:szCs w:val="16"/>
                        <w:lang w:val="fr-FR"/>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1CE5" w14:textId="77777777" w:rsidR="003830B1" w:rsidRDefault="003830B1" w:rsidP="007146FC">
      <w:pPr>
        <w:spacing w:after="0" w:line="240" w:lineRule="auto"/>
      </w:pPr>
      <w:r>
        <w:separator/>
      </w:r>
    </w:p>
  </w:footnote>
  <w:footnote w:type="continuationSeparator" w:id="0">
    <w:p w14:paraId="6CB952C3" w14:textId="77777777" w:rsidR="003830B1" w:rsidRDefault="003830B1" w:rsidP="0071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67AA" w14:textId="62E8159B" w:rsidR="007146FC" w:rsidRDefault="000B1B63" w:rsidP="007146FC">
    <w:pPr>
      <w:pStyle w:val="Header"/>
      <w:jc w:val="right"/>
    </w:pPr>
    <w:bookmarkStart w:id="3" w:name="TITUS1HeaderEvenPages"/>
    <w:r>
      <w:rPr>
        <w:noProof/>
      </w:rPr>
      <mc:AlternateContent>
        <mc:Choice Requires="wps">
          <w:drawing>
            <wp:anchor distT="0" distB="0" distL="0" distR="0" simplePos="0" relativeHeight="251665408" behindDoc="0" locked="0" layoutInCell="1" allowOverlap="1" wp14:anchorId="7C91CDB9" wp14:editId="6CCFAAB2">
              <wp:simplePos x="1076325" y="447675"/>
              <wp:positionH relativeFrom="page">
                <wp:align>right</wp:align>
              </wp:positionH>
              <wp:positionV relativeFrom="page">
                <wp:align>top</wp:align>
              </wp:positionV>
              <wp:extent cx="627380" cy="391160"/>
              <wp:effectExtent l="0" t="0" r="0" b="8890"/>
              <wp:wrapNone/>
              <wp:docPr id="13215256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668A81FF" w14:textId="6AA9F797"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91CDB9" id="_x0000_t202" coordsize="21600,21600" o:spt="202" path="m,l,21600r21600,l21600,xe">
              <v:stroke joinstyle="miter"/>
              <v:path gradientshapeok="t" o:connecttype="rect"/>
            </v:shapetype>
            <v:shape id="Text Box 2" o:spid="_x0000_s1026" type="#_x0000_t202" alt="Public" style="position:absolute;left:0;text-align:left;margin-left:-1.8pt;margin-top:0;width:49.4pt;height:30.8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9Q25DgIAABoEAAAOAAAAZHJzL2Uyb0RvYy54bWysU8lu2zAQvRfoPxC815Kcxk0Ey4GbwEUB IwngFDnTFGkJIDkESVtyv75DSrbTtKeiF2o2zfLmzfyu14ochPMtmIoWk5wSYTjUrdlV9MfL6tMN JT4wUzMFRlT0KDy9W3z8MO9sKabQgKqFI5jE+LKzFW1CsGWWed4IzfwErDDolOA0C6i6XVY71mF2 rbJpns+yDlxtHXDhPVofBiddpPxSCh6epPQiEFVR7C2k16V3G99sMWflzjHbtHxsg/1DF5q1Boue Uz2wwMjetX+k0i134EGGCQedgZQtF2kGnKbI302zaZgVaRYEx9szTP7/peWPh419diT0X6HHBUZA OutLj8Y4Ty+djl/slKAfITyeYRN9IByNs+mXqxv0cHRd3RbFLMGaXX62zodvAjSJQkUdbiWBxQ5r H7Aghp5CYi0Dq1aptBllfjNgYLRklw6jFPptP7a9hfqI0zgYFu0tX7VYc818eGYON4ttIlvDEz5S QVdRGCVKGnA//2aP8Qg4einpkCkVNUhlStR3g4uIpEpCcZtf56i5pE2vP+dR256CzF7fA5KwwHuw PIkxOKiTKB3oVyTzMlZDFzMca1Y0nMT7MPAWj4GL5TIFIYksC2uzsTymjmBFJF/6V+bsCHfAPT3C iUusfIf6EBv/9Ha5D4h9WkkEdkBzxBsJmDY1Hktk+Fs9RV1OevELAAD//wMAUEsDBBQABgAIAAAA IQBIPUOv3AAAAAMBAAAPAAAAZHJzL2Rvd25yZXYueG1sTI9BS8NAEIXvgv9hGcGL2E0VQhqzKSIU 7MGDrTl422SnSTA7G3a3afLvHb3o5cHwhve+V2xnO4gJfegdKVivEhBIjTM9tQo+jrv7DESImowe HKGCBQNsy+urQufGXegdp0NsBYdQyLWCLsYxlzI0HVodVm5EYu/kvNWRT99K4/WFw+0gH5IklVb3 xA2dHvGlw+brcLYKqtnfve02+9el/uynJdlXj9mpUur2Zn5+AhFxjn/P8IPP6FAyU+3OZIIYFPCQ +KvsbTJeUStI1ynIspD/2ctvAAAA//8DAFBLAQItABQABgAIAAAAIQC2gziS/gAAAOEBAAATAAAA AAAAAAAAAAAAAAAAAABbQ29udGVudF9UeXBlc10ueG1sUEsBAi0AFAAGAAgAAAAhADj9If/WAAAA lAEAAAsAAAAAAAAAAAAAAAAALwEAAF9yZWxzLy5yZWxzUEsBAi0AFAAGAAgAAAAhAOj1DbkOAgAA GgQAAA4AAAAAAAAAAAAAAAAALgIAAGRycy9lMm9Eb2MueG1sUEsBAi0AFAAGAAgAAAAhAEg9Q6/c AAAAAwEAAA8AAAAAAAAAAAAAAAAAaAQAAGRycy9kb3ducmV2LnhtbFBLBQYAAAAABAAEAPMAAABx BQAAAAA= " filled="f" stroked="f">
              <v:fill o:detectmouseclick="t"/>
              <v:textbox style="mso-fit-shape-to-text:t" inset="0,15pt,20pt,0">
                <w:txbxContent>
                  <w:p w14:paraId="668A81FF" w14:textId="6AA9F797"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v:textbox>
              <w10:wrap anchorx="page" anchory="page"/>
            </v:shape>
          </w:pict>
        </mc:Fallback>
      </mc:AlternateContent>
    </w:r>
    <w:r w:rsidR="007146FC">
      <w:t xml:space="preserve"> </w:t>
    </w:r>
  </w:p>
  <w:bookmarkEnd w:id="3"/>
  <w:p w14:paraId="4C4DAA71" w14:textId="77777777" w:rsidR="007146FC" w:rsidRDefault="00714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E369" w14:textId="6E107609" w:rsidR="007146FC" w:rsidRDefault="000B1B63" w:rsidP="007146FC">
    <w:pPr>
      <w:pStyle w:val="Header"/>
      <w:jc w:val="right"/>
    </w:pPr>
    <w:bookmarkStart w:id="4" w:name="TITUS1HeaderPrimary"/>
    <w:r>
      <w:rPr>
        <w:noProof/>
      </w:rPr>
      <mc:AlternateContent>
        <mc:Choice Requires="wps">
          <w:drawing>
            <wp:anchor distT="0" distB="0" distL="0" distR="0" simplePos="0" relativeHeight="251666432" behindDoc="0" locked="0" layoutInCell="1" allowOverlap="1" wp14:anchorId="088D2E56" wp14:editId="5EAA01CC">
              <wp:simplePos x="1076325" y="447675"/>
              <wp:positionH relativeFrom="page">
                <wp:align>right</wp:align>
              </wp:positionH>
              <wp:positionV relativeFrom="page">
                <wp:align>top</wp:align>
              </wp:positionV>
              <wp:extent cx="627380" cy="391160"/>
              <wp:effectExtent l="0" t="0" r="0" b="8890"/>
              <wp:wrapNone/>
              <wp:docPr id="7521191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0164D917" w14:textId="14E90A1F"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8D2E56" id="_x0000_t202" coordsize="21600,21600" o:spt="202" path="m,l,21600r21600,l21600,xe">
              <v:stroke joinstyle="miter"/>
              <v:path gradientshapeok="t" o:connecttype="rect"/>
            </v:shapetype>
            <v:shape id="Text Box 3" o:spid="_x0000_s1027" type="#_x0000_t202" alt="Public" style="position:absolute;left:0;text-align:left;margin-left:-1.8pt;margin-top:0;width:49.4pt;height:30.8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2U/vEQIAACEEAAAOAAAAZHJzL2Uyb0RvYy54bWysU01v2zAMvQ/YfxB0X2yna9YacYqsRYYB QVsgHXpWZCk2YImCxMTOfv0o5avrdhp2kSmS5sd7T9O7wXRsp3xowVa8GOWcKSuhbu2m4j9eFp9u OAsobC06sKriexX43ezjh2nvSjWGBrpaeUZFbCh7V/EG0ZVZFmSjjAgjcMpSUIM3AunqN1ntRU/V TZeN83yS9eBr50GqEMj7cAjyWaqvtZL4pHVQyLqK02yYTp/OdTyz2VSUGy9c08rjGOIfpjCitdT0 XOpBoGBb3/5RyrTSQwCNIwkmA61bqdIOtE2Rv9tm1Qin0i4ETnBnmML/Kysfdyv37BkOX2EgAiMg vQtlIGfcZ9DexC9NyihOEO7PsKkBmSTnZPzl6oYikkJXt0UxSbBml5+dD/hNgWHRqLgnVhJYYrcM SA0p9ZQSe1lYtF2XmOnsbw5KjJ7sMmG0cFgPrK3fTL+Gek9LeTjwHZxctNR6KQI+C08E07QkWnyi Q3fQVxyOFmcN+J9/88d8wp2inPUkmIpbUjRn3XdLfERtJaO4za9zuvl0G19/zuNtfUqyW3MPpMWC noWTyYzJ2J1M7cG8kqbnsRuFhJXUs+J4Mu/xIF96E1LN5ymJtOQELu3KyVg6YhYBfRlehXdH1JHo eoSTpET5DvxDbvwzuPkWiYLETMT3gOYRdtJhIuz4ZqLQ395T1uVlz34BAAD//wMAUEsDBBQABgAI AAAAIQBIPUOv3AAAAAMBAAAPAAAAZHJzL2Rvd25yZXYueG1sTI9BS8NAEIXvgv9hGcGL2E0VQhqz KSIU7MGDrTl422SnSTA7G3a3afLvHb3o5cHwhve+V2xnO4gJfegdKVivEhBIjTM9tQo+jrv7DESI moweHKGCBQNsy+urQufGXegdp0NsBYdQyLWCLsYxlzI0HVodVm5EYu/kvNWRT99K4/WFw+0gH5Ik lVb3xA2dHvGlw+brcLYKqtnfve02+9el/uynJdlXj9mpUur2Zn5+AhFxjn/P8IPP6FAyU+3OZIIY FPCQ+KvsbTJeUStI1ynIspD/2ctvAAAA//8DAFBLAQItABQABgAIAAAAIQC2gziS/gAAAOEBAAAT AAAAAAAAAAAAAAAAAAAAAABbQ29udGVudF9UeXBlc10ueG1sUEsBAi0AFAAGAAgAAAAhADj9If/W AAAAlAEAAAsAAAAAAAAAAAAAAAAALwEAAF9yZWxzLy5yZWxzUEsBAi0AFAAGAAgAAAAhAC3ZT+8R AgAAIQQAAA4AAAAAAAAAAAAAAAAALgIAAGRycy9lMm9Eb2MueG1sUEsBAi0AFAAGAAgAAAAhAEg9 Q6/cAAAAAwEAAA8AAAAAAAAAAAAAAAAAawQAAGRycy9kb3ducmV2LnhtbFBLBQYAAAAABAAEAPMA AAB0BQAAAAA= " filled="f" stroked="f">
              <v:fill o:detectmouseclick="t"/>
              <v:textbox style="mso-fit-shape-to-text:t" inset="0,15pt,20pt,0">
                <w:txbxContent>
                  <w:p w14:paraId="0164D917" w14:textId="14E90A1F"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v:textbox>
              <w10:wrap anchorx="page" anchory="page"/>
            </v:shape>
          </w:pict>
        </mc:Fallback>
      </mc:AlternateContent>
    </w:r>
    <w:r w:rsidR="007146FC">
      <w:t xml:space="preserve"> </w:t>
    </w:r>
  </w:p>
  <w:bookmarkEnd w:id="4"/>
  <w:p w14:paraId="5D84360B" w14:textId="77777777" w:rsidR="007146FC" w:rsidRDefault="00714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215F" w14:textId="1BBB1A20" w:rsidR="00962705" w:rsidRDefault="000B1B63">
    <w:pPr>
      <w:pStyle w:val="Header"/>
    </w:pPr>
    <w:r>
      <w:rPr>
        <w:noProof/>
      </w:rPr>
      <mc:AlternateContent>
        <mc:Choice Requires="wps">
          <w:drawing>
            <wp:anchor distT="0" distB="0" distL="0" distR="0" simplePos="0" relativeHeight="251664384" behindDoc="0" locked="0" layoutInCell="1" allowOverlap="1" wp14:anchorId="73E60734" wp14:editId="5BB65D00">
              <wp:simplePos x="635" y="635"/>
              <wp:positionH relativeFrom="page">
                <wp:align>right</wp:align>
              </wp:positionH>
              <wp:positionV relativeFrom="page">
                <wp:align>top</wp:align>
              </wp:positionV>
              <wp:extent cx="627380" cy="391160"/>
              <wp:effectExtent l="0" t="0" r="0" b="8890"/>
              <wp:wrapNone/>
              <wp:docPr id="45646908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0FE9121D" w14:textId="7B688CCB"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E60734" id="_x0000_t202" coordsize="21600,21600" o:spt="202" path="m,l,21600r21600,l21600,xe">
              <v:stroke joinstyle="miter"/>
              <v:path gradientshapeok="t" o:connecttype="rect"/>
            </v:shapetype>
            <v:shape id="Text Box 1" o:spid="_x0000_s1030" type="#_x0000_t202" alt="Public" style="position:absolute;margin-left:-1.8pt;margin-top:0;width:49.4pt;height:30.8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Y1soFAIAACEEAAAOAAAAZHJzL2Uyb0RvYy54bWysU01v2zAMvQ/YfxB0X2ynbdYacYqsRYYB QVsgHXpWZCk2IImCpMTOfv0oOU62bqdhF5kiaX689zS/77UiB+F8C6aixSSnRBgOdWt2Ff3+uvp0 S4kPzNRMgREVPQpP7xcfP8w7W4opNKBq4QgWMb7sbEWbEGyZZZ43QjM/ASsMBiU4zQJe3S6rHeuw ulbZNM9nWQeutg648B69j0OQLlJ9KQUPz1J6EYiqKM4W0unSuY1ntpizcueYbVp+GoP9wxSatQab nks9ssDI3rV/lNItd+BBhgkHnYGULRdpB9ymyN9ts2mYFWkXBMfbM0z+/5XlT4eNfXEk9F+gRwIj IJ31pUdn3KeXTscvTkowjhAez7CJPhCOztn089UtRjiGru6KYpZgzS4/W+fDVwGaRKOiDllJYLHD 2gdsiKljSuxlYNUqlZhR5jcHJkZPdpkwWqHf9qStK3o9Tr+F+ohLORj49pavWmy9Zj68MIcE47Qo 2vCMh1TQVRROFiUNuB9/88d8xB2jlHQomIoaVDQl6ptBPqK2klHc5Tc53ly6TW+u83jbjklmrx8A tVjgs7A8mTE5qNGUDvQbanoZu2GIGY49KxpG8yEM8sU3wcVymZJQS5aFtdlYHktHzCKgr/0bc/aE ekC6nmCUFCvfgT/kxj+9Xe4DUpCYifgOaJ5gRx0mwk5vJgr913vKurzsxU8AAAD//wMAUEsDBBQA BgAIAAAAIQBIPUOv3AAAAAMBAAAPAAAAZHJzL2Rvd25yZXYueG1sTI9BS8NAEIXvgv9hGcGL2E0V QhqzKSIU7MGDrTl422SnSTA7G3a3afLvHb3o5cHwhve+V2xnO4gJfegdKVivEhBIjTM9tQo+jrv7 DESImoweHKGCBQNsy+urQufGXegdp0NsBYdQyLWCLsYxlzI0HVodVm5EYu/kvNWRT99K4/WFw+0g H5IklVb3xA2dHvGlw+brcLYKqtnfve02+9el/uynJdlXj9mpUur2Zn5+AhFxjn/P8IPP6FAyU+3O ZIIYFPCQ+KvsbTJeUStI1ynIspD/2ctvAAAA//8DAFBLAQItABQABgAIAAAAIQC2gziS/gAAAOEB AAATAAAAAAAAAAAAAAAAAAAAAABbQ29udGVudF9UeXBlc10ueG1sUEsBAi0AFAAGAAgAAAAhADj9 If/WAAAAlAEAAAsAAAAAAAAAAAAAAAAALwEAAF9yZWxzLy5yZWxzUEsBAi0AFAAGAAgAAAAhAN5j WygUAgAAIQQAAA4AAAAAAAAAAAAAAAAALgIAAGRycy9lMm9Eb2MueG1sUEsBAi0AFAAGAAgAAAAh AEg9Q6/cAAAAAwEAAA8AAAAAAAAAAAAAAAAAbgQAAGRycy9kb3ducmV2LnhtbFBLBQYAAAAABAAE APMAAAB3BQAAAAA= " filled="f" stroked="f">
              <v:fill o:detectmouseclick="t"/>
              <v:textbox style="mso-fit-shape-to-text:t" inset="0,15pt,20pt,0">
                <w:txbxContent>
                  <w:p w14:paraId="0FE9121D" w14:textId="7B688CCB" w:rsidR="000B1B63" w:rsidRPr="000B1B63" w:rsidRDefault="000B1B63" w:rsidP="000B1B63">
                    <w:pPr>
                      <w:spacing w:after="0"/>
                      <w:rPr>
                        <w:rFonts w:ascii="Calibri" w:eastAsia="Calibri" w:hAnsi="Calibri" w:cs="Calibri"/>
                        <w:noProof/>
                        <w:color w:val="000000"/>
                        <w:sz w:val="24"/>
                        <w:szCs w:val="24"/>
                      </w:rPr>
                    </w:pPr>
                    <w:r w:rsidRPr="000B1B63">
                      <w:rPr>
                        <w:rFonts w:ascii="Calibri" w:eastAsia="Calibri" w:hAnsi="Calibri" w:cs="Calibri"/>
                        <w:noProof/>
                        <w:color w:val="000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66"/>
    <w:multiLevelType w:val="hybridMultilevel"/>
    <w:tmpl w:val="82BAA1F8"/>
    <w:lvl w:ilvl="0" w:tplc="10A84222">
      <w:start w:val="1"/>
      <w:numFmt w:val="decimal"/>
      <w:pStyle w:val="Punct"/>
      <w:lvlText w:val="%1."/>
      <w:lvlJc w:val="left"/>
      <w:pPr>
        <w:ind w:left="720" w:hanging="360"/>
      </w:pPr>
      <w:rPr>
        <w:rFonts w:cs="Times New Roman" w:hint="default"/>
        <w:b/>
        <w:sz w:val="22"/>
        <w:szCs w:val="22"/>
      </w:rPr>
    </w:lvl>
    <w:lvl w:ilvl="1" w:tplc="36E42416">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E758F"/>
    <w:multiLevelType w:val="hybridMultilevel"/>
    <w:tmpl w:val="0C440554"/>
    <w:lvl w:ilvl="0" w:tplc="33640ED2">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706"/>
    <w:multiLevelType w:val="hybridMultilevel"/>
    <w:tmpl w:val="80BA032A"/>
    <w:lvl w:ilvl="0" w:tplc="08180011">
      <w:start w:val="1"/>
      <w:numFmt w:val="decimal"/>
      <w:lvlText w:val="%1)"/>
      <w:lvlJc w:val="left"/>
      <w:pPr>
        <w:ind w:left="2629" w:hanging="360"/>
      </w:pPr>
      <w:rPr>
        <w:rFonts w:hint="default"/>
      </w:rPr>
    </w:lvl>
    <w:lvl w:ilvl="1" w:tplc="08180019" w:tentative="1">
      <w:start w:val="1"/>
      <w:numFmt w:val="lowerLetter"/>
      <w:lvlText w:val="%2."/>
      <w:lvlJc w:val="left"/>
      <w:pPr>
        <w:ind w:left="3000" w:hanging="360"/>
      </w:pPr>
    </w:lvl>
    <w:lvl w:ilvl="2" w:tplc="0818001B" w:tentative="1">
      <w:start w:val="1"/>
      <w:numFmt w:val="lowerRoman"/>
      <w:lvlText w:val="%3."/>
      <w:lvlJc w:val="right"/>
      <w:pPr>
        <w:ind w:left="3720" w:hanging="180"/>
      </w:pPr>
    </w:lvl>
    <w:lvl w:ilvl="3" w:tplc="0818000F" w:tentative="1">
      <w:start w:val="1"/>
      <w:numFmt w:val="decimal"/>
      <w:lvlText w:val="%4."/>
      <w:lvlJc w:val="left"/>
      <w:pPr>
        <w:ind w:left="4440" w:hanging="360"/>
      </w:pPr>
    </w:lvl>
    <w:lvl w:ilvl="4" w:tplc="08180019" w:tentative="1">
      <w:start w:val="1"/>
      <w:numFmt w:val="lowerLetter"/>
      <w:lvlText w:val="%5."/>
      <w:lvlJc w:val="left"/>
      <w:pPr>
        <w:ind w:left="5160" w:hanging="360"/>
      </w:pPr>
    </w:lvl>
    <w:lvl w:ilvl="5" w:tplc="0818001B" w:tentative="1">
      <w:start w:val="1"/>
      <w:numFmt w:val="lowerRoman"/>
      <w:lvlText w:val="%6."/>
      <w:lvlJc w:val="right"/>
      <w:pPr>
        <w:ind w:left="5880" w:hanging="180"/>
      </w:pPr>
    </w:lvl>
    <w:lvl w:ilvl="6" w:tplc="0818000F" w:tentative="1">
      <w:start w:val="1"/>
      <w:numFmt w:val="decimal"/>
      <w:lvlText w:val="%7."/>
      <w:lvlJc w:val="left"/>
      <w:pPr>
        <w:ind w:left="6600" w:hanging="360"/>
      </w:pPr>
    </w:lvl>
    <w:lvl w:ilvl="7" w:tplc="08180019" w:tentative="1">
      <w:start w:val="1"/>
      <w:numFmt w:val="lowerLetter"/>
      <w:lvlText w:val="%8."/>
      <w:lvlJc w:val="left"/>
      <w:pPr>
        <w:ind w:left="7320" w:hanging="360"/>
      </w:pPr>
    </w:lvl>
    <w:lvl w:ilvl="8" w:tplc="0818001B" w:tentative="1">
      <w:start w:val="1"/>
      <w:numFmt w:val="lowerRoman"/>
      <w:lvlText w:val="%9."/>
      <w:lvlJc w:val="right"/>
      <w:pPr>
        <w:ind w:left="8040" w:hanging="180"/>
      </w:pPr>
    </w:lvl>
  </w:abstractNum>
  <w:abstractNum w:abstractNumId="3" w15:restartNumberingAfterBreak="0">
    <w:nsid w:val="2EED04B5"/>
    <w:multiLevelType w:val="hybridMultilevel"/>
    <w:tmpl w:val="E04C6E66"/>
    <w:lvl w:ilvl="0" w:tplc="FA4CE8CE">
      <w:start w:val="1"/>
      <w:numFmt w:val="decimal"/>
      <w:lvlText w:val="%1."/>
      <w:lvlJc w:val="left"/>
      <w:pPr>
        <w:ind w:left="720" w:hanging="360"/>
      </w:pPr>
      <w:rPr>
        <w:rFonts w:ascii="PermianSerifTypeface" w:hAnsi="PermianSerifTypefac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F2B41"/>
    <w:multiLevelType w:val="hybridMultilevel"/>
    <w:tmpl w:val="14AEB57C"/>
    <w:lvl w:ilvl="0" w:tplc="DD0CBE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0761D3E"/>
    <w:multiLevelType w:val="hybridMultilevel"/>
    <w:tmpl w:val="D1C0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071CE"/>
    <w:multiLevelType w:val="hybridMultilevel"/>
    <w:tmpl w:val="04EE9C2A"/>
    <w:lvl w:ilvl="0" w:tplc="00A885A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C0D63FF"/>
    <w:multiLevelType w:val="multilevel"/>
    <w:tmpl w:val="F75AC7B2"/>
    <w:lvl w:ilvl="0">
      <w:start w:val="1"/>
      <w:numFmt w:val="decimal"/>
      <w:lvlText w:val="%1."/>
      <w:lvlJc w:val="left"/>
      <w:pPr>
        <w:ind w:left="720" w:hanging="360"/>
      </w:pPr>
      <w:rPr>
        <w:rFonts w:ascii="PermianSerifTypeface" w:hAnsi="PermianSerifTypeface" w:hint="default"/>
        <w:b/>
        <w:bCs/>
      </w:rPr>
    </w:lvl>
    <w:lvl w:ilvl="1">
      <w:start w:val="1"/>
      <w:numFmt w:val="decimal"/>
      <w:isLgl/>
      <w:lvlText w:val="%1.%2."/>
      <w:lvlJc w:val="left"/>
      <w:pPr>
        <w:ind w:left="1396"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8" w15:restartNumberingAfterBreak="0">
    <w:nsid w:val="4E317CF2"/>
    <w:multiLevelType w:val="hybridMultilevel"/>
    <w:tmpl w:val="60A2AC04"/>
    <w:lvl w:ilvl="0" w:tplc="F9CA5816">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50CC5972"/>
    <w:multiLevelType w:val="hybridMultilevel"/>
    <w:tmpl w:val="F408A22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5302E2"/>
    <w:multiLevelType w:val="hybridMultilevel"/>
    <w:tmpl w:val="702E327C"/>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1" w15:restartNumberingAfterBreak="0">
    <w:nsid w:val="5AAB2419"/>
    <w:multiLevelType w:val="hybridMultilevel"/>
    <w:tmpl w:val="FED84FD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EE2534E"/>
    <w:multiLevelType w:val="hybridMultilevel"/>
    <w:tmpl w:val="99C83564"/>
    <w:lvl w:ilvl="0" w:tplc="A2368E04">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87D3F69"/>
    <w:multiLevelType w:val="hybridMultilevel"/>
    <w:tmpl w:val="0AAE158E"/>
    <w:lvl w:ilvl="0" w:tplc="7E0AD4DA">
      <w:start w:val="1"/>
      <w:numFmt w:val="decimal"/>
      <w:lvlText w:val="1.2.%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688B60FC"/>
    <w:multiLevelType w:val="hybridMultilevel"/>
    <w:tmpl w:val="E930556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D439A8"/>
    <w:multiLevelType w:val="hybridMultilevel"/>
    <w:tmpl w:val="81D2E092"/>
    <w:lvl w:ilvl="0" w:tplc="2A80C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2A6161B"/>
    <w:multiLevelType w:val="hybridMultilevel"/>
    <w:tmpl w:val="106C52C2"/>
    <w:lvl w:ilvl="0" w:tplc="0D56FF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76A692E"/>
    <w:multiLevelType w:val="hybridMultilevel"/>
    <w:tmpl w:val="BC6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33BB3"/>
    <w:multiLevelType w:val="hybridMultilevel"/>
    <w:tmpl w:val="F2F67AA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C02191E"/>
    <w:multiLevelType w:val="hybridMultilevel"/>
    <w:tmpl w:val="956A7C9E"/>
    <w:lvl w:ilvl="0" w:tplc="581CAC30">
      <w:start w:val="1"/>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20679628">
    <w:abstractNumId w:val="0"/>
  </w:num>
  <w:num w:numId="2" w16cid:durableId="186606685">
    <w:abstractNumId w:val="3"/>
  </w:num>
  <w:num w:numId="3" w16cid:durableId="1836411365">
    <w:abstractNumId w:val="5"/>
  </w:num>
  <w:num w:numId="4" w16cid:durableId="434789715">
    <w:abstractNumId w:val="0"/>
    <w:lvlOverride w:ilvl="0">
      <w:startOverride w:val="1"/>
    </w:lvlOverride>
  </w:num>
  <w:num w:numId="5" w16cid:durableId="136800592">
    <w:abstractNumId w:val="15"/>
  </w:num>
  <w:num w:numId="6" w16cid:durableId="1911309048">
    <w:abstractNumId w:val="16"/>
  </w:num>
  <w:num w:numId="7" w16cid:durableId="1578248084">
    <w:abstractNumId w:val="4"/>
  </w:num>
  <w:num w:numId="8" w16cid:durableId="910653880">
    <w:abstractNumId w:val="1"/>
  </w:num>
  <w:num w:numId="9" w16cid:durableId="1356879118">
    <w:abstractNumId w:val="17"/>
  </w:num>
  <w:num w:numId="10" w16cid:durableId="1805731209">
    <w:abstractNumId w:val="11"/>
  </w:num>
  <w:num w:numId="11" w16cid:durableId="1277785041">
    <w:abstractNumId w:val="18"/>
  </w:num>
  <w:num w:numId="12" w16cid:durableId="1158233076">
    <w:abstractNumId w:val="12"/>
  </w:num>
  <w:num w:numId="13" w16cid:durableId="2130468305">
    <w:abstractNumId w:val="8"/>
  </w:num>
  <w:num w:numId="14" w16cid:durableId="1837645913">
    <w:abstractNumId w:val="10"/>
  </w:num>
  <w:num w:numId="15" w16cid:durableId="882521574">
    <w:abstractNumId w:val="6"/>
  </w:num>
  <w:num w:numId="16" w16cid:durableId="1799839528">
    <w:abstractNumId w:val="14"/>
  </w:num>
  <w:num w:numId="17" w16cid:durableId="719717390">
    <w:abstractNumId w:val="2"/>
  </w:num>
  <w:num w:numId="18" w16cid:durableId="2024433890">
    <w:abstractNumId w:val="0"/>
    <w:lvlOverride w:ilvl="0">
      <w:startOverride w:val="1"/>
    </w:lvlOverride>
  </w:num>
  <w:num w:numId="19" w16cid:durableId="479735726">
    <w:abstractNumId w:val="9"/>
  </w:num>
  <w:num w:numId="20" w16cid:durableId="986781906">
    <w:abstractNumId w:val="7"/>
  </w:num>
  <w:num w:numId="21" w16cid:durableId="663051019">
    <w:abstractNumId w:val="19"/>
  </w:num>
  <w:num w:numId="22" w16cid:durableId="1437554088">
    <w:abstractNumId w:val="0"/>
  </w:num>
  <w:num w:numId="23" w16cid:durableId="1300922055">
    <w:abstractNumId w:val="0"/>
  </w:num>
  <w:num w:numId="24" w16cid:durableId="612978841">
    <w:abstractNumId w:val="0"/>
  </w:num>
  <w:num w:numId="25" w16cid:durableId="2089106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50"/>
    <w:rsid w:val="000105DD"/>
    <w:rsid w:val="000152D6"/>
    <w:rsid w:val="0001656B"/>
    <w:rsid w:val="00020786"/>
    <w:rsid w:val="000330AD"/>
    <w:rsid w:val="00035EBC"/>
    <w:rsid w:val="00057802"/>
    <w:rsid w:val="000664D1"/>
    <w:rsid w:val="000671AC"/>
    <w:rsid w:val="00081E4C"/>
    <w:rsid w:val="0009459E"/>
    <w:rsid w:val="000A086F"/>
    <w:rsid w:val="000A1C5B"/>
    <w:rsid w:val="000A2BEF"/>
    <w:rsid w:val="000A51A1"/>
    <w:rsid w:val="000B1B63"/>
    <w:rsid w:val="000B27BA"/>
    <w:rsid w:val="000C25C9"/>
    <w:rsid w:val="000C3D12"/>
    <w:rsid w:val="000C4377"/>
    <w:rsid w:val="000D12E6"/>
    <w:rsid w:val="000D5581"/>
    <w:rsid w:val="000D6D94"/>
    <w:rsid w:val="000E19B1"/>
    <w:rsid w:val="000E1B10"/>
    <w:rsid w:val="000E2706"/>
    <w:rsid w:val="000F2145"/>
    <w:rsid w:val="000F3CDB"/>
    <w:rsid w:val="000F6C23"/>
    <w:rsid w:val="00100BC8"/>
    <w:rsid w:val="0011388B"/>
    <w:rsid w:val="00115E2B"/>
    <w:rsid w:val="00121DD5"/>
    <w:rsid w:val="0013376C"/>
    <w:rsid w:val="00135547"/>
    <w:rsid w:val="00144F8B"/>
    <w:rsid w:val="001454CD"/>
    <w:rsid w:val="00154A71"/>
    <w:rsid w:val="00155142"/>
    <w:rsid w:val="00166166"/>
    <w:rsid w:val="001722D1"/>
    <w:rsid w:val="001725A7"/>
    <w:rsid w:val="00173F69"/>
    <w:rsid w:val="00174F58"/>
    <w:rsid w:val="001777B1"/>
    <w:rsid w:val="0018095A"/>
    <w:rsid w:val="001929A6"/>
    <w:rsid w:val="001A4C40"/>
    <w:rsid w:val="001B20C5"/>
    <w:rsid w:val="001B3663"/>
    <w:rsid w:val="001C4D78"/>
    <w:rsid w:val="001E066E"/>
    <w:rsid w:val="001E14E4"/>
    <w:rsid w:val="0020753D"/>
    <w:rsid w:val="00214892"/>
    <w:rsid w:val="002304B2"/>
    <w:rsid w:val="00230530"/>
    <w:rsid w:val="0023545D"/>
    <w:rsid w:val="002448FE"/>
    <w:rsid w:val="00246F8C"/>
    <w:rsid w:val="00275704"/>
    <w:rsid w:val="002772C0"/>
    <w:rsid w:val="00277CAC"/>
    <w:rsid w:val="002963C4"/>
    <w:rsid w:val="002A54BC"/>
    <w:rsid w:val="002B2D29"/>
    <w:rsid w:val="002C0DFC"/>
    <w:rsid w:val="002C30BD"/>
    <w:rsid w:val="002C3399"/>
    <w:rsid w:val="002C4B29"/>
    <w:rsid w:val="002D52C4"/>
    <w:rsid w:val="002E1019"/>
    <w:rsid w:val="002E3805"/>
    <w:rsid w:val="002E74D2"/>
    <w:rsid w:val="002F7646"/>
    <w:rsid w:val="0030070A"/>
    <w:rsid w:val="00320BD3"/>
    <w:rsid w:val="00321DA8"/>
    <w:rsid w:val="00325C00"/>
    <w:rsid w:val="00335AE4"/>
    <w:rsid w:val="0035118B"/>
    <w:rsid w:val="003536EB"/>
    <w:rsid w:val="003541EF"/>
    <w:rsid w:val="003577C8"/>
    <w:rsid w:val="00363C97"/>
    <w:rsid w:val="00370307"/>
    <w:rsid w:val="003706D5"/>
    <w:rsid w:val="003830B1"/>
    <w:rsid w:val="00390168"/>
    <w:rsid w:val="003B27F8"/>
    <w:rsid w:val="003C5547"/>
    <w:rsid w:val="003C77CD"/>
    <w:rsid w:val="003D00FB"/>
    <w:rsid w:val="003D1DAE"/>
    <w:rsid w:val="003D559D"/>
    <w:rsid w:val="003D773D"/>
    <w:rsid w:val="003E08CA"/>
    <w:rsid w:val="003E1077"/>
    <w:rsid w:val="00407254"/>
    <w:rsid w:val="004077CC"/>
    <w:rsid w:val="004149CB"/>
    <w:rsid w:val="00416017"/>
    <w:rsid w:val="00417176"/>
    <w:rsid w:val="00417F1C"/>
    <w:rsid w:val="00426735"/>
    <w:rsid w:val="00430F27"/>
    <w:rsid w:val="00430FF1"/>
    <w:rsid w:val="00446199"/>
    <w:rsid w:val="004514F8"/>
    <w:rsid w:val="0046312A"/>
    <w:rsid w:val="00473774"/>
    <w:rsid w:val="0049407D"/>
    <w:rsid w:val="004B0F09"/>
    <w:rsid w:val="004B2900"/>
    <w:rsid w:val="004B2EBA"/>
    <w:rsid w:val="004B3163"/>
    <w:rsid w:val="004B6C10"/>
    <w:rsid w:val="004E6B14"/>
    <w:rsid w:val="0050185E"/>
    <w:rsid w:val="005119EC"/>
    <w:rsid w:val="00515F88"/>
    <w:rsid w:val="00520126"/>
    <w:rsid w:val="00525CC5"/>
    <w:rsid w:val="00531BF2"/>
    <w:rsid w:val="005329A1"/>
    <w:rsid w:val="00545F6E"/>
    <w:rsid w:val="005535F1"/>
    <w:rsid w:val="00554EFF"/>
    <w:rsid w:val="005728FF"/>
    <w:rsid w:val="00591766"/>
    <w:rsid w:val="00591D9B"/>
    <w:rsid w:val="0059535F"/>
    <w:rsid w:val="005A32B9"/>
    <w:rsid w:val="005B7FD9"/>
    <w:rsid w:val="005C15C2"/>
    <w:rsid w:val="005C1691"/>
    <w:rsid w:val="005C6877"/>
    <w:rsid w:val="005D118E"/>
    <w:rsid w:val="005D7446"/>
    <w:rsid w:val="005D7572"/>
    <w:rsid w:val="0060756E"/>
    <w:rsid w:val="00613DF6"/>
    <w:rsid w:val="00645F31"/>
    <w:rsid w:val="00647145"/>
    <w:rsid w:val="0065729E"/>
    <w:rsid w:val="00667D9B"/>
    <w:rsid w:val="00672D67"/>
    <w:rsid w:val="006743F0"/>
    <w:rsid w:val="0067511F"/>
    <w:rsid w:val="00675A79"/>
    <w:rsid w:val="0067636D"/>
    <w:rsid w:val="00677F0F"/>
    <w:rsid w:val="0068403E"/>
    <w:rsid w:val="00695235"/>
    <w:rsid w:val="00695428"/>
    <w:rsid w:val="006A1AC6"/>
    <w:rsid w:val="006A5E84"/>
    <w:rsid w:val="006B241D"/>
    <w:rsid w:val="006B27E3"/>
    <w:rsid w:val="006B5379"/>
    <w:rsid w:val="006B5E7E"/>
    <w:rsid w:val="006B75D8"/>
    <w:rsid w:val="006C4043"/>
    <w:rsid w:val="006C5174"/>
    <w:rsid w:val="006C5B45"/>
    <w:rsid w:val="006C694B"/>
    <w:rsid w:val="006D207F"/>
    <w:rsid w:val="006D2AC4"/>
    <w:rsid w:val="006F7311"/>
    <w:rsid w:val="00705A03"/>
    <w:rsid w:val="00706437"/>
    <w:rsid w:val="007146FC"/>
    <w:rsid w:val="00721857"/>
    <w:rsid w:val="007225BA"/>
    <w:rsid w:val="00725A3F"/>
    <w:rsid w:val="00726DC1"/>
    <w:rsid w:val="007306C3"/>
    <w:rsid w:val="00730B6A"/>
    <w:rsid w:val="00737415"/>
    <w:rsid w:val="00743BD0"/>
    <w:rsid w:val="00744A25"/>
    <w:rsid w:val="00760591"/>
    <w:rsid w:val="007A0510"/>
    <w:rsid w:val="007A06B7"/>
    <w:rsid w:val="007A309D"/>
    <w:rsid w:val="007A3728"/>
    <w:rsid w:val="007A4DB9"/>
    <w:rsid w:val="007B7A3A"/>
    <w:rsid w:val="007C1564"/>
    <w:rsid w:val="007C4732"/>
    <w:rsid w:val="007D180F"/>
    <w:rsid w:val="007E29D3"/>
    <w:rsid w:val="007E6799"/>
    <w:rsid w:val="007F2142"/>
    <w:rsid w:val="00800577"/>
    <w:rsid w:val="0080163A"/>
    <w:rsid w:val="00803D36"/>
    <w:rsid w:val="00807324"/>
    <w:rsid w:val="00807CDD"/>
    <w:rsid w:val="0081327C"/>
    <w:rsid w:val="00814F8B"/>
    <w:rsid w:val="008278B5"/>
    <w:rsid w:val="008304CF"/>
    <w:rsid w:val="00831E86"/>
    <w:rsid w:val="00841DFE"/>
    <w:rsid w:val="008435A6"/>
    <w:rsid w:val="00853E7D"/>
    <w:rsid w:val="0086567A"/>
    <w:rsid w:val="0087614B"/>
    <w:rsid w:val="0088078F"/>
    <w:rsid w:val="00881468"/>
    <w:rsid w:val="008914B4"/>
    <w:rsid w:val="008931DC"/>
    <w:rsid w:val="008972E8"/>
    <w:rsid w:val="008A5067"/>
    <w:rsid w:val="008B0863"/>
    <w:rsid w:val="008B247C"/>
    <w:rsid w:val="008B5A50"/>
    <w:rsid w:val="008C0950"/>
    <w:rsid w:val="008D0341"/>
    <w:rsid w:val="008D2C15"/>
    <w:rsid w:val="008E0D2D"/>
    <w:rsid w:val="008E2FA6"/>
    <w:rsid w:val="008E7890"/>
    <w:rsid w:val="008F231A"/>
    <w:rsid w:val="00904F14"/>
    <w:rsid w:val="009223EB"/>
    <w:rsid w:val="009254B7"/>
    <w:rsid w:val="009341C9"/>
    <w:rsid w:val="00943A2F"/>
    <w:rsid w:val="00951B1B"/>
    <w:rsid w:val="0096259E"/>
    <w:rsid w:val="00962705"/>
    <w:rsid w:val="00967D70"/>
    <w:rsid w:val="00971C8C"/>
    <w:rsid w:val="00973B6B"/>
    <w:rsid w:val="00975834"/>
    <w:rsid w:val="0098280B"/>
    <w:rsid w:val="00987E80"/>
    <w:rsid w:val="00996863"/>
    <w:rsid w:val="009A4B63"/>
    <w:rsid w:val="009A57FF"/>
    <w:rsid w:val="009A64A7"/>
    <w:rsid w:val="009B0A9D"/>
    <w:rsid w:val="009C2CDD"/>
    <w:rsid w:val="009D0232"/>
    <w:rsid w:val="009D3555"/>
    <w:rsid w:val="009E58BE"/>
    <w:rsid w:val="009E6D0C"/>
    <w:rsid w:val="009F015C"/>
    <w:rsid w:val="009F58C4"/>
    <w:rsid w:val="00A00C84"/>
    <w:rsid w:val="00A011B3"/>
    <w:rsid w:val="00A10066"/>
    <w:rsid w:val="00A10784"/>
    <w:rsid w:val="00A357A5"/>
    <w:rsid w:val="00A473EC"/>
    <w:rsid w:val="00A51FB8"/>
    <w:rsid w:val="00A56270"/>
    <w:rsid w:val="00A5744A"/>
    <w:rsid w:val="00A57AF5"/>
    <w:rsid w:val="00A57EA1"/>
    <w:rsid w:val="00A74628"/>
    <w:rsid w:val="00A822CB"/>
    <w:rsid w:val="00A85CBC"/>
    <w:rsid w:val="00A9072D"/>
    <w:rsid w:val="00A94F54"/>
    <w:rsid w:val="00A94F81"/>
    <w:rsid w:val="00A950C7"/>
    <w:rsid w:val="00A96EF4"/>
    <w:rsid w:val="00AB3F8B"/>
    <w:rsid w:val="00AB700D"/>
    <w:rsid w:val="00AD30C2"/>
    <w:rsid w:val="00AF5A2C"/>
    <w:rsid w:val="00B01065"/>
    <w:rsid w:val="00B03BAE"/>
    <w:rsid w:val="00B05051"/>
    <w:rsid w:val="00B05BD3"/>
    <w:rsid w:val="00B13415"/>
    <w:rsid w:val="00B21352"/>
    <w:rsid w:val="00B23B3A"/>
    <w:rsid w:val="00B25223"/>
    <w:rsid w:val="00B35CAB"/>
    <w:rsid w:val="00B4241B"/>
    <w:rsid w:val="00B43EAF"/>
    <w:rsid w:val="00B51555"/>
    <w:rsid w:val="00B570D9"/>
    <w:rsid w:val="00B577AE"/>
    <w:rsid w:val="00B722FA"/>
    <w:rsid w:val="00B72F5F"/>
    <w:rsid w:val="00B95A40"/>
    <w:rsid w:val="00B968DE"/>
    <w:rsid w:val="00B97650"/>
    <w:rsid w:val="00BA1AC9"/>
    <w:rsid w:val="00BA62E0"/>
    <w:rsid w:val="00BB120E"/>
    <w:rsid w:val="00BB55C2"/>
    <w:rsid w:val="00BC29DE"/>
    <w:rsid w:val="00BD2944"/>
    <w:rsid w:val="00BD2A8D"/>
    <w:rsid w:val="00BD5C8F"/>
    <w:rsid w:val="00BD64E9"/>
    <w:rsid w:val="00BE1AE6"/>
    <w:rsid w:val="00BE4852"/>
    <w:rsid w:val="00BE582E"/>
    <w:rsid w:val="00C01FBE"/>
    <w:rsid w:val="00C30969"/>
    <w:rsid w:val="00C3158E"/>
    <w:rsid w:val="00C32A13"/>
    <w:rsid w:val="00C40F38"/>
    <w:rsid w:val="00C422F2"/>
    <w:rsid w:val="00C528C7"/>
    <w:rsid w:val="00C70CF1"/>
    <w:rsid w:val="00C73A54"/>
    <w:rsid w:val="00C76915"/>
    <w:rsid w:val="00C8174D"/>
    <w:rsid w:val="00C84355"/>
    <w:rsid w:val="00C945C7"/>
    <w:rsid w:val="00CA4A5E"/>
    <w:rsid w:val="00CB754F"/>
    <w:rsid w:val="00CC0937"/>
    <w:rsid w:val="00CC31B8"/>
    <w:rsid w:val="00CC3DBD"/>
    <w:rsid w:val="00CC4994"/>
    <w:rsid w:val="00CD30C9"/>
    <w:rsid w:val="00CE4056"/>
    <w:rsid w:val="00CF2EF5"/>
    <w:rsid w:val="00D06142"/>
    <w:rsid w:val="00D06FD8"/>
    <w:rsid w:val="00D21CDA"/>
    <w:rsid w:val="00D27EE8"/>
    <w:rsid w:val="00D30C7F"/>
    <w:rsid w:val="00D415D4"/>
    <w:rsid w:val="00D4598F"/>
    <w:rsid w:val="00D47056"/>
    <w:rsid w:val="00D54570"/>
    <w:rsid w:val="00D55DAF"/>
    <w:rsid w:val="00D643C3"/>
    <w:rsid w:val="00D73FC8"/>
    <w:rsid w:val="00D770C5"/>
    <w:rsid w:val="00D77762"/>
    <w:rsid w:val="00D80C5C"/>
    <w:rsid w:val="00D83679"/>
    <w:rsid w:val="00D8468B"/>
    <w:rsid w:val="00D95305"/>
    <w:rsid w:val="00D961F0"/>
    <w:rsid w:val="00DA652B"/>
    <w:rsid w:val="00DB66DA"/>
    <w:rsid w:val="00DC4A60"/>
    <w:rsid w:val="00DD13F1"/>
    <w:rsid w:val="00DE0461"/>
    <w:rsid w:val="00DE6123"/>
    <w:rsid w:val="00E039EB"/>
    <w:rsid w:val="00E050FD"/>
    <w:rsid w:val="00E11F0B"/>
    <w:rsid w:val="00E135DB"/>
    <w:rsid w:val="00E26ABB"/>
    <w:rsid w:val="00E275FA"/>
    <w:rsid w:val="00E42A0F"/>
    <w:rsid w:val="00E43C9C"/>
    <w:rsid w:val="00E554A9"/>
    <w:rsid w:val="00E66B8E"/>
    <w:rsid w:val="00E67FE7"/>
    <w:rsid w:val="00E70F7D"/>
    <w:rsid w:val="00E73581"/>
    <w:rsid w:val="00E80DAF"/>
    <w:rsid w:val="00E82C21"/>
    <w:rsid w:val="00E86960"/>
    <w:rsid w:val="00E871C8"/>
    <w:rsid w:val="00E90015"/>
    <w:rsid w:val="00E90A85"/>
    <w:rsid w:val="00E920D6"/>
    <w:rsid w:val="00E945D6"/>
    <w:rsid w:val="00E946C6"/>
    <w:rsid w:val="00E9594B"/>
    <w:rsid w:val="00E97FC4"/>
    <w:rsid w:val="00EB5451"/>
    <w:rsid w:val="00EB5ACB"/>
    <w:rsid w:val="00EB770C"/>
    <w:rsid w:val="00EC114C"/>
    <w:rsid w:val="00EC4419"/>
    <w:rsid w:val="00ED511B"/>
    <w:rsid w:val="00F14442"/>
    <w:rsid w:val="00F147E3"/>
    <w:rsid w:val="00F23225"/>
    <w:rsid w:val="00F260DA"/>
    <w:rsid w:val="00F351B3"/>
    <w:rsid w:val="00F3555B"/>
    <w:rsid w:val="00F3753C"/>
    <w:rsid w:val="00F412FC"/>
    <w:rsid w:val="00F414BA"/>
    <w:rsid w:val="00F44986"/>
    <w:rsid w:val="00F6210A"/>
    <w:rsid w:val="00F679D7"/>
    <w:rsid w:val="00F70506"/>
    <w:rsid w:val="00F71140"/>
    <w:rsid w:val="00F71650"/>
    <w:rsid w:val="00F72E23"/>
    <w:rsid w:val="00F7456E"/>
    <w:rsid w:val="00FA2001"/>
    <w:rsid w:val="00FA26A4"/>
    <w:rsid w:val="00FA75C2"/>
    <w:rsid w:val="00FB120F"/>
    <w:rsid w:val="00FB42F1"/>
    <w:rsid w:val="00FB560A"/>
    <w:rsid w:val="00FC0EC9"/>
    <w:rsid w:val="00FC3E99"/>
    <w:rsid w:val="00FC6AC0"/>
    <w:rsid w:val="00FD3BA9"/>
    <w:rsid w:val="00FD65AA"/>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E887"/>
  <w15:chartTrackingRefBased/>
  <w15:docId w15:val="{8C8245A4-AAE1-4AA8-914A-42D4E020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BD"/>
  </w:style>
  <w:style w:type="paragraph" w:styleId="Heading1">
    <w:name w:val="heading 1"/>
    <w:basedOn w:val="Normal"/>
    <w:next w:val="Normal"/>
    <w:link w:val="Heading1Char"/>
    <w:uiPriority w:val="9"/>
    <w:qFormat/>
    <w:rsid w:val="009627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3DBD"/>
    <w:pPr>
      <w:ind w:left="720"/>
      <w:contextualSpacing/>
    </w:pPr>
  </w:style>
  <w:style w:type="character" w:customStyle="1" w:styleId="2">
    <w:name w:val="Основной текст (2)_"/>
    <w:link w:val="20"/>
    <w:rsid w:val="00CC3DBD"/>
    <w:rPr>
      <w:rFonts w:ascii="Arial" w:hAnsi="Arial"/>
      <w:b/>
      <w:bCs/>
      <w:shd w:val="clear" w:color="auto" w:fill="FFFFFF"/>
    </w:rPr>
  </w:style>
  <w:style w:type="character" w:customStyle="1" w:styleId="1">
    <w:name w:val="Заголовок №1_"/>
    <w:link w:val="10"/>
    <w:rsid w:val="00CC3DBD"/>
    <w:rPr>
      <w:rFonts w:ascii="Arial" w:hAnsi="Arial"/>
      <w:sz w:val="26"/>
      <w:szCs w:val="26"/>
      <w:shd w:val="clear" w:color="auto" w:fill="FFFFFF"/>
    </w:rPr>
  </w:style>
  <w:style w:type="paragraph" w:customStyle="1" w:styleId="20">
    <w:name w:val="Основной текст (2)"/>
    <w:basedOn w:val="Normal"/>
    <w:link w:val="2"/>
    <w:rsid w:val="00CC3DBD"/>
    <w:pPr>
      <w:widowControl w:val="0"/>
      <w:shd w:val="clear" w:color="auto" w:fill="FFFFFF"/>
      <w:spacing w:after="0" w:line="274" w:lineRule="exact"/>
    </w:pPr>
    <w:rPr>
      <w:rFonts w:ascii="Arial" w:hAnsi="Arial"/>
      <w:b/>
      <w:bCs/>
    </w:rPr>
  </w:style>
  <w:style w:type="paragraph" w:customStyle="1" w:styleId="10">
    <w:name w:val="Заголовок №1"/>
    <w:basedOn w:val="Normal"/>
    <w:link w:val="1"/>
    <w:rsid w:val="00CC3DBD"/>
    <w:pPr>
      <w:widowControl w:val="0"/>
      <w:shd w:val="clear" w:color="auto" w:fill="FFFFFF"/>
      <w:spacing w:before="240" w:after="0" w:line="240" w:lineRule="atLeast"/>
      <w:outlineLvl w:val="0"/>
    </w:pPr>
    <w:rPr>
      <w:rFonts w:ascii="Arial" w:hAnsi="Arial"/>
      <w:sz w:val="26"/>
      <w:szCs w:val="26"/>
    </w:rPr>
  </w:style>
  <w:style w:type="paragraph" w:styleId="BodyText2">
    <w:name w:val="Body Text 2"/>
    <w:basedOn w:val="Normal"/>
    <w:link w:val="BodyText2Char"/>
    <w:rsid w:val="00CC3DBD"/>
    <w:pPr>
      <w:spacing w:after="0" w:line="240" w:lineRule="auto"/>
      <w:jc w:val="center"/>
    </w:pPr>
    <w:rPr>
      <w:rFonts w:ascii="Times New Roman" w:eastAsia="Times New Roman" w:hAnsi="Times New Roman" w:cs="Times New Roman"/>
      <w:bCs/>
      <w:sz w:val="28"/>
      <w:szCs w:val="28"/>
      <w:lang w:val="ro-RO"/>
    </w:rPr>
  </w:style>
  <w:style w:type="character" w:customStyle="1" w:styleId="BodyText2Char">
    <w:name w:val="Body Text 2 Char"/>
    <w:basedOn w:val="DefaultParagraphFont"/>
    <w:link w:val="BodyText2"/>
    <w:rsid w:val="00CC3DBD"/>
    <w:rPr>
      <w:rFonts w:ascii="Times New Roman" w:eastAsia="Times New Roman" w:hAnsi="Times New Roman" w:cs="Times New Roman"/>
      <w:bCs/>
      <w:sz w:val="28"/>
      <w:szCs w:val="28"/>
      <w:lang w:val="ro-RO"/>
    </w:rPr>
  </w:style>
  <w:style w:type="paragraph" w:customStyle="1" w:styleId="Punct">
    <w:name w:val="Punct"/>
    <w:basedOn w:val="ListParagraph"/>
    <w:link w:val="PunctChar"/>
    <w:qFormat/>
    <w:rsid w:val="00CC3DBD"/>
    <w:pPr>
      <w:keepNext/>
      <w:keepLines/>
      <w:widowControl w:val="0"/>
      <w:numPr>
        <w:numId w:val="1"/>
      </w:numPr>
      <w:tabs>
        <w:tab w:val="left" w:pos="1134"/>
      </w:tabs>
      <w:spacing w:before="120" w:after="0" w:line="240" w:lineRule="auto"/>
      <w:contextualSpacing w:val="0"/>
      <w:jc w:val="both"/>
      <w:outlineLvl w:val="0"/>
    </w:pPr>
    <w:rPr>
      <w:rFonts w:ascii="Times New Roman" w:hAnsi="Times New Roman" w:cs="Times New Roman"/>
      <w:lang w:val="ro-MD"/>
    </w:rPr>
  </w:style>
  <w:style w:type="character" w:customStyle="1" w:styleId="ListParagraphChar">
    <w:name w:val="List Paragraph Char"/>
    <w:basedOn w:val="DefaultParagraphFont"/>
    <w:link w:val="ListParagraph"/>
    <w:uiPriority w:val="34"/>
    <w:rsid w:val="00CC3DBD"/>
  </w:style>
  <w:style w:type="character" w:customStyle="1" w:styleId="PunctChar">
    <w:name w:val="Punct Char"/>
    <w:basedOn w:val="ListParagraphChar"/>
    <w:link w:val="Punct"/>
    <w:rsid w:val="00CC3DBD"/>
    <w:rPr>
      <w:rFonts w:ascii="Times New Roman" w:hAnsi="Times New Roman" w:cs="Times New Roman"/>
      <w:lang w:val="ro-MD"/>
    </w:rPr>
  </w:style>
  <w:style w:type="paragraph" w:styleId="NormalWeb">
    <w:name w:val="Normal (Web)"/>
    <w:basedOn w:val="Normal"/>
    <w:uiPriority w:val="99"/>
    <w:unhideWhenUsed/>
    <w:rsid w:val="00CC3DBD"/>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46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7146FC"/>
  </w:style>
  <w:style w:type="paragraph" w:styleId="Footer">
    <w:name w:val="footer"/>
    <w:basedOn w:val="Normal"/>
    <w:link w:val="FooterChar"/>
    <w:uiPriority w:val="99"/>
    <w:unhideWhenUsed/>
    <w:rsid w:val="007146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7146FC"/>
  </w:style>
  <w:style w:type="paragraph" w:styleId="FootnoteText">
    <w:name w:val="footnote text"/>
    <w:basedOn w:val="Normal"/>
    <w:link w:val="FootnoteTextChar"/>
    <w:uiPriority w:val="99"/>
    <w:unhideWhenUsed/>
    <w:rsid w:val="0035118B"/>
    <w:pPr>
      <w:spacing w:after="0" w:line="240" w:lineRule="auto"/>
    </w:pPr>
    <w:rPr>
      <w:sz w:val="20"/>
      <w:szCs w:val="20"/>
    </w:rPr>
  </w:style>
  <w:style w:type="character" w:customStyle="1" w:styleId="FootnoteTextChar">
    <w:name w:val="Footnote Text Char"/>
    <w:basedOn w:val="DefaultParagraphFont"/>
    <w:link w:val="FootnoteText"/>
    <w:uiPriority w:val="99"/>
    <w:rsid w:val="0035118B"/>
    <w:rPr>
      <w:sz w:val="20"/>
      <w:szCs w:val="20"/>
    </w:rPr>
  </w:style>
  <w:style w:type="paragraph" w:styleId="BalloonText">
    <w:name w:val="Balloon Text"/>
    <w:basedOn w:val="Normal"/>
    <w:link w:val="BalloonTextChar"/>
    <w:uiPriority w:val="99"/>
    <w:semiHidden/>
    <w:unhideWhenUsed/>
    <w:rsid w:val="002E3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805"/>
    <w:rPr>
      <w:rFonts w:ascii="Segoe UI" w:hAnsi="Segoe UI" w:cs="Segoe UI"/>
      <w:sz w:val="18"/>
      <w:szCs w:val="18"/>
    </w:rPr>
  </w:style>
  <w:style w:type="character" w:styleId="CommentReference">
    <w:name w:val="annotation reference"/>
    <w:basedOn w:val="DefaultParagraphFont"/>
    <w:uiPriority w:val="99"/>
    <w:semiHidden/>
    <w:unhideWhenUsed/>
    <w:rsid w:val="0030070A"/>
    <w:rPr>
      <w:sz w:val="16"/>
      <w:szCs w:val="16"/>
    </w:rPr>
  </w:style>
  <w:style w:type="paragraph" w:styleId="CommentText">
    <w:name w:val="annotation text"/>
    <w:basedOn w:val="Normal"/>
    <w:link w:val="CommentTextChar"/>
    <w:uiPriority w:val="99"/>
    <w:unhideWhenUsed/>
    <w:rsid w:val="0030070A"/>
    <w:pPr>
      <w:spacing w:line="240" w:lineRule="auto"/>
    </w:pPr>
    <w:rPr>
      <w:sz w:val="20"/>
      <w:szCs w:val="20"/>
    </w:rPr>
  </w:style>
  <w:style w:type="character" w:customStyle="1" w:styleId="CommentTextChar">
    <w:name w:val="Comment Text Char"/>
    <w:basedOn w:val="DefaultParagraphFont"/>
    <w:link w:val="CommentText"/>
    <w:uiPriority w:val="99"/>
    <w:rsid w:val="0030070A"/>
    <w:rPr>
      <w:sz w:val="20"/>
      <w:szCs w:val="20"/>
    </w:rPr>
  </w:style>
  <w:style w:type="paragraph" w:styleId="CommentSubject">
    <w:name w:val="annotation subject"/>
    <w:basedOn w:val="CommentText"/>
    <w:next w:val="CommentText"/>
    <w:link w:val="CommentSubjectChar"/>
    <w:uiPriority w:val="99"/>
    <w:semiHidden/>
    <w:unhideWhenUsed/>
    <w:rsid w:val="0030070A"/>
    <w:rPr>
      <w:b/>
      <w:bCs/>
    </w:rPr>
  </w:style>
  <w:style w:type="character" w:customStyle="1" w:styleId="CommentSubjectChar">
    <w:name w:val="Comment Subject Char"/>
    <w:basedOn w:val="CommentTextChar"/>
    <w:link w:val="CommentSubject"/>
    <w:uiPriority w:val="99"/>
    <w:semiHidden/>
    <w:rsid w:val="0030070A"/>
    <w:rPr>
      <w:b/>
      <w:bCs/>
      <w:sz w:val="20"/>
      <w:szCs w:val="20"/>
    </w:rPr>
  </w:style>
  <w:style w:type="table" w:styleId="TableGrid">
    <w:name w:val="Table Grid"/>
    <w:basedOn w:val="TableNormal"/>
    <w:uiPriority w:val="39"/>
    <w:rsid w:val="003E1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E08CA"/>
    <w:rPr>
      <w:vertAlign w:val="superscript"/>
    </w:rPr>
  </w:style>
  <w:style w:type="paragraph" w:styleId="Revision">
    <w:name w:val="Revision"/>
    <w:hidden/>
    <w:uiPriority w:val="99"/>
    <w:semiHidden/>
    <w:rsid w:val="00BE4852"/>
    <w:pPr>
      <w:spacing w:after="0" w:line="240" w:lineRule="auto"/>
    </w:pPr>
  </w:style>
  <w:style w:type="paragraph" w:styleId="NoSpacing">
    <w:name w:val="No Spacing"/>
    <w:uiPriority w:val="1"/>
    <w:qFormat/>
    <w:rsid w:val="005C6877"/>
    <w:pPr>
      <w:spacing w:after="0" w:line="240" w:lineRule="auto"/>
    </w:pPr>
  </w:style>
  <w:style w:type="paragraph" w:styleId="EndnoteText">
    <w:name w:val="endnote text"/>
    <w:basedOn w:val="Normal"/>
    <w:link w:val="EndnoteTextChar"/>
    <w:uiPriority w:val="99"/>
    <w:semiHidden/>
    <w:unhideWhenUsed/>
    <w:rsid w:val="001337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76C"/>
    <w:rPr>
      <w:sz w:val="20"/>
      <w:szCs w:val="20"/>
    </w:rPr>
  </w:style>
  <w:style w:type="character" w:styleId="EndnoteReference">
    <w:name w:val="endnote reference"/>
    <w:basedOn w:val="DefaultParagraphFont"/>
    <w:uiPriority w:val="99"/>
    <w:semiHidden/>
    <w:unhideWhenUsed/>
    <w:rsid w:val="0013376C"/>
    <w:rPr>
      <w:vertAlign w:val="superscript"/>
    </w:rPr>
  </w:style>
  <w:style w:type="character" w:customStyle="1" w:styleId="Heading1Char">
    <w:name w:val="Heading 1 Char"/>
    <w:basedOn w:val="DefaultParagraphFont"/>
    <w:link w:val="Heading1"/>
    <w:uiPriority w:val="9"/>
    <w:rsid w:val="009627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5684">
      <w:bodyDiv w:val="1"/>
      <w:marLeft w:val="0"/>
      <w:marRight w:val="0"/>
      <w:marTop w:val="0"/>
      <w:marBottom w:val="0"/>
      <w:divBdr>
        <w:top w:val="none" w:sz="0" w:space="0" w:color="auto"/>
        <w:left w:val="none" w:sz="0" w:space="0" w:color="auto"/>
        <w:bottom w:val="none" w:sz="0" w:space="0" w:color="auto"/>
        <w:right w:val="none" w:sz="0" w:space="0" w:color="auto"/>
      </w:divBdr>
    </w:div>
    <w:div w:id="419452800">
      <w:bodyDiv w:val="1"/>
      <w:marLeft w:val="0"/>
      <w:marRight w:val="0"/>
      <w:marTop w:val="0"/>
      <w:marBottom w:val="0"/>
      <w:divBdr>
        <w:top w:val="none" w:sz="0" w:space="0" w:color="auto"/>
        <w:left w:val="none" w:sz="0" w:space="0" w:color="auto"/>
        <w:bottom w:val="none" w:sz="0" w:space="0" w:color="auto"/>
        <w:right w:val="none" w:sz="0" w:space="0" w:color="auto"/>
      </w:divBdr>
    </w:div>
    <w:div w:id="479201121">
      <w:bodyDiv w:val="1"/>
      <w:marLeft w:val="0"/>
      <w:marRight w:val="0"/>
      <w:marTop w:val="0"/>
      <w:marBottom w:val="0"/>
      <w:divBdr>
        <w:top w:val="none" w:sz="0" w:space="0" w:color="auto"/>
        <w:left w:val="none" w:sz="0" w:space="0" w:color="auto"/>
        <w:bottom w:val="none" w:sz="0" w:space="0" w:color="auto"/>
        <w:right w:val="none" w:sz="0" w:space="0" w:color="auto"/>
      </w:divBdr>
    </w:div>
    <w:div w:id="578902130">
      <w:bodyDiv w:val="1"/>
      <w:marLeft w:val="0"/>
      <w:marRight w:val="0"/>
      <w:marTop w:val="0"/>
      <w:marBottom w:val="0"/>
      <w:divBdr>
        <w:top w:val="none" w:sz="0" w:space="0" w:color="auto"/>
        <w:left w:val="none" w:sz="0" w:space="0" w:color="auto"/>
        <w:bottom w:val="none" w:sz="0" w:space="0" w:color="auto"/>
        <w:right w:val="none" w:sz="0" w:space="0" w:color="auto"/>
      </w:divBdr>
    </w:div>
    <w:div w:id="632835301">
      <w:bodyDiv w:val="1"/>
      <w:marLeft w:val="0"/>
      <w:marRight w:val="0"/>
      <w:marTop w:val="0"/>
      <w:marBottom w:val="0"/>
      <w:divBdr>
        <w:top w:val="none" w:sz="0" w:space="0" w:color="auto"/>
        <w:left w:val="none" w:sz="0" w:space="0" w:color="auto"/>
        <w:bottom w:val="none" w:sz="0" w:space="0" w:color="auto"/>
        <w:right w:val="none" w:sz="0" w:space="0" w:color="auto"/>
      </w:divBdr>
    </w:div>
    <w:div w:id="765148715">
      <w:bodyDiv w:val="1"/>
      <w:marLeft w:val="0"/>
      <w:marRight w:val="0"/>
      <w:marTop w:val="0"/>
      <w:marBottom w:val="0"/>
      <w:divBdr>
        <w:top w:val="none" w:sz="0" w:space="0" w:color="auto"/>
        <w:left w:val="none" w:sz="0" w:space="0" w:color="auto"/>
        <w:bottom w:val="none" w:sz="0" w:space="0" w:color="auto"/>
        <w:right w:val="none" w:sz="0" w:space="0" w:color="auto"/>
      </w:divBdr>
    </w:div>
    <w:div w:id="831216289">
      <w:bodyDiv w:val="1"/>
      <w:marLeft w:val="0"/>
      <w:marRight w:val="0"/>
      <w:marTop w:val="0"/>
      <w:marBottom w:val="0"/>
      <w:divBdr>
        <w:top w:val="none" w:sz="0" w:space="0" w:color="auto"/>
        <w:left w:val="none" w:sz="0" w:space="0" w:color="auto"/>
        <w:bottom w:val="none" w:sz="0" w:space="0" w:color="auto"/>
        <w:right w:val="none" w:sz="0" w:space="0" w:color="auto"/>
      </w:divBdr>
    </w:div>
    <w:div w:id="925307720">
      <w:bodyDiv w:val="1"/>
      <w:marLeft w:val="0"/>
      <w:marRight w:val="0"/>
      <w:marTop w:val="0"/>
      <w:marBottom w:val="0"/>
      <w:divBdr>
        <w:top w:val="none" w:sz="0" w:space="0" w:color="auto"/>
        <w:left w:val="none" w:sz="0" w:space="0" w:color="auto"/>
        <w:bottom w:val="none" w:sz="0" w:space="0" w:color="auto"/>
        <w:right w:val="none" w:sz="0" w:space="0" w:color="auto"/>
      </w:divBdr>
    </w:div>
    <w:div w:id="1085961179">
      <w:bodyDiv w:val="1"/>
      <w:marLeft w:val="0"/>
      <w:marRight w:val="0"/>
      <w:marTop w:val="0"/>
      <w:marBottom w:val="0"/>
      <w:divBdr>
        <w:top w:val="none" w:sz="0" w:space="0" w:color="auto"/>
        <w:left w:val="none" w:sz="0" w:space="0" w:color="auto"/>
        <w:bottom w:val="none" w:sz="0" w:space="0" w:color="auto"/>
        <w:right w:val="none" w:sz="0" w:space="0" w:color="auto"/>
      </w:divBdr>
    </w:div>
    <w:div w:id="1102148184">
      <w:bodyDiv w:val="1"/>
      <w:marLeft w:val="0"/>
      <w:marRight w:val="0"/>
      <w:marTop w:val="0"/>
      <w:marBottom w:val="0"/>
      <w:divBdr>
        <w:top w:val="none" w:sz="0" w:space="0" w:color="auto"/>
        <w:left w:val="none" w:sz="0" w:space="0" w:color="auto"/>
        <w:bottom w:val="none" w:sz="0" w:space="0" w:color="auto"/>
        <w:right w:val="none" w:sz="0" w:space="0" w:color="auto"/>
      </w:divBdr>
    </w:div>
    <w:div w:id="1912153967">
      <w:bodyDiv w:val="1"/>
      <w:marLeft w:val="0"/>
      <w:marRight w:val="0"/>
      <w:marTop w:val="0"/>
      <w:marBottom w:val="0"/>
      <w:divBdr>
        <w:top w:val="none" w:sz="0" w:space="0" w:color="auto"/>
        <w:left w:val="none" w:sz="0" w:space="0" w:color="auto"/>
        <w:bottom w:val="none" w:sz="0" w:space="0" w:color="auto"/>
        <w:right w:val="none" w:sz="0" w:space="0" w:color="auto"/>
      </w:divBdr>
    </w:div>
    <w:div w:id="2025012045">
      <w:bodyDiv w:val="1"/>
      <w:marLeft w:val="0"/>
      <w:marRight w:val="0"/>
      <w:marTop w:val="0"/>
      <w:marBottom w:val="0"/>
      <w:divBdr>
        <w:top w:val="none" w:sz="0" w:space="0" w:color="auto"/>
        <w:left w:val="none" w:sz="0" w:space="0" w:color="auto"/>
        <w:bottom w:val="none" w:sz="0" w:space="0" w:color="auto"/>
        <w:right w:val="none" w:sz="0" w:space="0" w:color="auto"/>
      </w:divBdr>
    </w:div>
    <w:div w:id="21271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E17F-22AC-4805-8DEF-21C22914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526</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2025-06-03T10:18:00Z</dcterms:created>
  <cp:lastPrinted>2022-04-29T12:19:00Z</cp:lastPrinted>
  <dcterms:modified xsi:type="dcterms:W3CDTF">2025-06-13T10:55:00Z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7fb7c71b-918f-425f-9afe-94791d81c0a9</vt:lpwstr>
  </property>
  <property fmtid="{D5CDD505-2E9C-101B-9397-08002B2CF9AE}" pid="3" name="Clasificare">
    <vt:lpwstr>NONE</vt:lpwstr>
  </property>
  <property fmtid="{D5CDD505-2E9C-101B-9397-08002B2CF9AE}" pid="4" name="ClassificationContentMarkingHeaderShapeIds">
    <vt:lpwstr>1b352a58,7e07cf0,47ba48d</vt:lpwstr>
  </property>
  <property fmtid="{D5CDD505-2E9C-101B-9397-08002B2CF9AE}" pid="5" name="ClassificationContentMarkingHeaderFontProps">
    <vt:lpwstr>#000000,12,Calibri</vt:lpwstr>
  </property>
  <property fmtid="{D5CDD505-2E9C-101B-9397-08002B2CF9AE}" pid="6" name="ClassificationContentMarkingHeaderText">
    <vt:lpwstr>Public</vt:lpwstr>
  </property>
  <property fmtid="{D5CDD505-2E9C-101B-9397-08002B2CF9AE}" pid="7" name="ClassificationContentMarkingFooterShapeIds">
    <vt:lpwstr>55f7eb3f,78383125,14b85527</vt:lpwstr>
  </property>
  <property fmtid="{D5CDD505-2E9C-101B-9397-08002B2CF9AE}" pid="8" name="ClassificationContentMarkingFooterFontProps">
    <vt:lpwstr>#000000,8,Calibri</vt:lpwstr>
  </property>
  <property fmtid="{D5CDD505-2E9C-101B-9397-08002B2CF9AE}" pid="9" name="ClassificationContentMarkingFooterText">
    <vt:lpwstr>Informaţie Publică – Document creat în cadrul BNM.</vt:lpwstr>
  </property>
  <property fmtid="{D5CDD505-2E9C-101B-9397-08002B2CF9AE}" pid="10" name="MSIP_Label_3b98f9fa-866f-4492-8aff-7c726f5dd5b1_Enabled">
    <vt:lpwstr>true</vt:lpwstr>
  </property>
  <property fmtid="{D5CDD505-2E9C-101B-9397-08002B2CF9AE}" pid="11" name="MSIP_Label_3b98f9fa-866f-4492-8aff-7c726f5dd5b1_SetDate">
    <vt:lpwstr>2025-06-13T10:55:10Z</vt:lpwstr>
  </property>
  <property fmtid="{D5CDD505-2E9C-101B-9397-08002B2CF9AE}" pid="12" name="MSIP_Label_3b98f9fa-866f-4492-8aff-7c726f5dd5b1_Method">
    <vt:lpwstr>Privileged</vt:lpwstr>
  </property>
  <property fmtid="{D5CDD505-2E9C-101B-9397-08002B2CF9AE}" pid="13" name="MSIP_Label_3b98f9fa-866f-4492-8aff-7c726f5dd5b1_Name">
    <vt:lpwstr>Public</vt:lpwstr>
  </property>
  <property fmtid="{D5CDD505-2E9C-101B-9397-08002B2CF9AE}" pid="14" name="MSIP_Label_3b98f9fa-866f-4492-8aff-7c726f5dd5b1_SiteId">
    <vt:lpwstr>5887d430-0034-4561-b771-12c77faf2fa0</vt:lpwstr>
  </property>
  <property fmtid="{D5CDD505-2E9C-101B-9397-08002B2CF9AE}" pid="15" name="MSIP_Label_3b98f9fa-866f-4492-8aff-7c726f5dd5b1_ActionId">
    <vt:lpwstr>13afb8c2-5b04-46ba-88cf-d5a9001dc77b</vt:lpwstr>
  </property>
  <property fmtid="{D5CDD505-2E9C-101B-9397-08002B2CF9AE}" pid="16" name="MSIP_Label_3b98f9fa-866f-4492-8aff-7c726f5dd5b1_ContentBits">
    <vt:lpwstr>3</vt:lpwstr>
  </property>
</Properties>
</file>